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38" w:rsidRPr="00FA0520" w:rsidRDefault="00716038" w:rsidP="000305B7">
      <w:pPr>
        <w:pStyle w:val="a3"/>
        <w:spacing w:after="0"/>
        <w:ind w:left="0" w:firstLine="720"/>
        <w:jc w:val="center"/>
        <w:rPr>
          <w:b/>
        </w:rPr>
      </w:pPr>
      <w:r w:rsidRPr="00FA0520">
        <w:rPr>
          <w:b/>
        </w:rPr>
        <w:t xml:space="preserve">Пояснительная записка к прогнозу </w:t>
      </w:r>
    </w:p>
    <w:p w:rsidR="00716038" w:rsidRPr="00FA0520" w:rsidRDefault="00716038" w:rsidP="000305B7">
      <w:pPr>
        <w:pStyle w:val="a3"/>
        <w:spacing w:after="0"/>
        <w:ind w:left="0" w:firstLine="720"/>
        <w:jc w:val="center"/>
        <w:rPr>
          <w:b/>
        </w:rPr>
      </w:pPr>
      <w:r w:rsidRPr="00FA0520">
        <w:rPr>
          <w:b/>
        </w:rPr>
        <w:t>социально-экономического развития на 20</w:t>
      </w:r>
      <w:r w:rsidR="00364A3C" w:rsidRPr="00FA0520">
        <w:rPr>
          <w:b/>
        </w:rPr>
        <w:t>20</w:t>
      </w:r>
      <w:r w:rsidRPr="00FA0520">
        <w:rPr>
          <w:b/>
        </w:rPr>
        <w:t xml:space="preserve"> год </w:t>
      </w:r>
    </w:p>
    <w:p w:rsidR="00716038" w:rsidRPr="00FA0520" w:rsidRDefault="00716038" w:rsidP="000305B7">
      <w:pPr>
        <w:pStyle w:val="a3"/>
        <w:spacing w:after="0"/>
        <w:ind w:left="0" w:firstLine="720"/>
        <w:jc w:val="center"/>
        <w:rPr>
          <w:b/>
        </w:rPr>
      </w:pPr>
      <w:r w:rsidRPr="00FA0520">
        <w:rPr>
          <w:b/>
        </w:rPr>
        <w:t>и плановый период 20</w:t>
      </w:r>
      <w:r w:rsidR="007C4A1D" w:rsidRPr="00FA0520">
        <w:rPr>
          <w:b/>
        </w:rPr>
        <w:t>2</w:t>
      </w:r>
      <w:r w:rsidR="00364A3C" w:rsidRPr="00FA0520">
        <w:rPr>
          <w:b/>
        </w:rPr>
        <w:t>1</w:t>
      </w:r>
      <w:r w:rsidRPr="00FA0520">
        <w:rPr>
          <w:b/>
        </w:rPr>
        <w:t xml:space="preserve"> – 202</w:t>
      </w:r>
      <w:r w:rsidR="00364A3C" w:rsidRPr="00FA0520">
        <w:rPr>
          <w:b/>
        </w:rPr>
        <w:t>2</w:t>
      </w:r>
      <w:r w:rsidRPr="00FA0520">
        <w:rPr>
          <w:b/>
        </w:rPr>
        <w:t xml:space="preserve"> годы.</w:t>
      </w:r>
    </w:p>
    <w:p w:rsidR="00716038" w:rsidRPr="00FA0520" w:rsidRDefault="00716038" w:rsidP="000305B7">
      <w:pPr>
        <w:pStyle w:val="a3"/>
        <w:spacing w:after="0"/>
        <w:ind w:left="0" w:firstLine="720"/>
        <w:jc w:val="center"/>
        <w:rPr>
          <w:b/>
        </w:rPr>
      </w:pPr>
    </w:p>
    <w:p w:rsidR="004F7D1E" w:rsidRPr="00FA0520" w:rsidRDefault="004F7D1E" w:rsidP="000305B7">
      <w:pPr>
        <w:ind w:firstLine="709"/>
        <w:jc w:val="both"/>
      </w:pPr>
      <w:r w:rsidRPr="00FA0520">
        <w:t xml:space="preserve">При прогнозировании макроэкономических индикаторов социально- экономического развития МО «Ахтубинский район» на среднесрочный период учтено влияние существующих и потенциальных внешних и внутренних факторов и ограничений, формирующих замедление экономической динамики. Основными ограничениями экономического развития района будут: </w:t>
      </w:r>
    </w:p>
    <w:p w:rsidR="004F7D1E" w:rsidRPr="00FA0520" w:rsidRDefault="004F7D1E" w:rsidP="000305B7">
      <w:pPr>
        <w:jc w:val="both"/>
      </w:pPr>
      <w:r w:rsidRPr="00FA0520">
        <w:t xml:space="preserve">– санкционные ограничения, которые продолжают дестабилизировать спросовую и ценовую конъюнктуру рынков, формировать внешнеэкономические риски, оказывать довлеющее воздействие на инфляционные процессы; </w:t>
      </w:r>
    </w:p>
    <w:p w:rsidR="004F7D1E" w:rsidRPr="00FA0520" w:rsidRDefault="004F7D1E" w:rsidP="000305B7">
      <w:pPr>
        <w:jc w:val="both"/>
      </w:pPr>
      <w:r w:rsidRPr="00FA0520">
        <w:t>– низкий уровень развития и высокий уро</w:t>
      </w:r>
      <w:r w:rsidR="005E19B1" w:rsidRPr="00FA0520">
        <w:t>вень износа производственной и коммунальной и</w:t>
      </w:r>
      <w:r w:rsidRPr="00FA0520">
        <w:t xml:space="preserve"> инфраструктуры, особенно в сельской местности; </w:t>
      </w:r>
    </w:p>
    <w:p w:rsidR="004F7D1E" w:rsidRPr="00FA0520" w:rsidRDefault="004F7D1E" w:rsidP="000305B7">
      <w:pPr>
        <w:jc w:val="both"/>
      </w:pPr>
      <w:r w:rsidRPr="00FA0520">
        <w:t xml:space="preserve">– снижение численности населения трудоспособного возраста из-за сохраняющегося миграционного оттока населения и процесса «старения» населения; </w:t>
      </w:r>
    </w:p>
    <w:p w:rsidR="004F7D1E" w:rsidRPr="00FA0520" w:rsidRDefault="004F7D1E" w:rsidP="000305B7">
      <w:pPr>
        <w:jc w:val="both"/>
      </w:pPr>
      <w:r w:rsidRPr="00FA0520">
        <w:t xml:space="preserve">– дефицит консолидированного бюджета МО «Ахтубинский район», </w:t>
      </w:r>
      <w:r w:rsidR="007C4A1D" w:rsidRPr="00FA0520">
        <w:t>снижение</w:t>
      </w:r>
      <w:r w:rsidRPr="00FA0520">
        <w:t xml:space="preserve"> объемов областного и федерального финансирования мероприятий муниципальных программ, реализуемых за счет средств областного и федерального бюджетов; </w:t>
      </w:r>
    </w:p>
    <w:p w:rsidR="004F7D1E" w:rsidRPr="00FA0520" w:rsidRDefault="004F7D1E" w:rsidP="000305B7">
      <w:pPr>
        <w:jc w:val="both"/>
      </w:pPr>
      <w:r w:rsidRPr="00FA0520">
        <w:t xml:space="preserve">– природно-климатические риски. </w:t>
      </w:r>
    </w:p>
    <w:p w:rsidR="004F7D1E" w:rsidRPr="00FA0520" w:rsidRDefault="004F7D1E" w:rsidP="000305B7">
      <w:pPr>
        <w:ind w:firstLine="851"/>
        <w:jc w:val="both"/>
      </w:pPr>
      <w:r w:rsidRPr="00FA0520">
        <w:t xml:space="preserve">В среднесрочном периоде влияние внешних и внутренних ограничений в совокупности может значительно изменять тенденции развития отдельных отраслей экономики района, динамику темпов роста прогнозируемых показателей. И как следствие, может произойти снижение доходности организаций реального сектора экономики и ужесточение бюджетной политики, утрата конкурентных преимуществ на рынках сбыта продукции, моральное и физическое старение технологий, оборудования и сооружений, снижение уровня деловой и потребительской уверенности, отсутствие существенного роста фонда заработной платы, как в реальном, так и в бюджетном секторе, которые, в свою очередь, формируют риски недопоступления доходов в бюджеты всех уровней. </w:t>
      </w:r>
    </w:p>
    <w:p w:rsidR="004F7D1E" w:rsidRPr="00FA0520" w:rsidRDefault="004F7D1E" w:rsidP="000305B7">
      <w:pPr>
        <w:ind w:firstLine="851"/>
        <w:jc w:val="both"/>
      </w:pPr>
      <w:r w:rsidRPr="00FA0520">
        <w:t xml:space="preserve">Основными позитивными факторами, определяющими тенденции социально-экономического развития </w:t>
      </w:r>
      <w:r w:rsidR="00084FF9" w:rsidRPr="00FA0520">
        <w:t>МО «Ахтубинский район»</w:t>
      </w:r>
      <w:r w:rsidRPr="00FA0520">
        <w:t xml:space="preserve"> в среднесрочном прогнозируемом периоде, станут: </w:t>
      </w:r>
    </w:p>
    <w:p w:rsidR="004F7D1E" w:rsidRPr="00FA0520" w:rsidRDefault="004F7D1E" w:rsidP="000305B7">
      <w:pPr>
        <w:jc w:val="both"/>
      </w:pPr>
      <w:r w:rsidRPr="00FA0520">
        <w:t xml:space="preserve">– повышение конкурентоспособности продукции местных товаропроизводителей в результате девальвации рубля, развитие импортозамещения; </w:t>
      </w:r>
    </w:p>
    <w:p w:rsidR="004F7D1E" w:rsidRPr="00FA0520" w:rsidRDefault="004F7D1E" w:rsidP="000305B7">
      <w:pPr>
        <w:jc w:val="both"/>
      </w:pPr>
      <w:r w:rsidRPr="00FA0520">
        <w:t xml:space="preserve">– увеличение объемов промышленного </w:t>
      </w:r>
      <w:r w:rsidR="009B5DB8" w:rsidRPr="00FA0520">
        <w:t>производства,</w:t>
      </w:r>
      <w:r w:rsidRPr="00FA0520">
        <w:t xml:space="preserve"> за счет модернизации действующих и создания новых производств; </w:t>
      </w:r>
    </w:p>
    <w:p w:rsidR="004F7D1E" w:rsidRPr="00FA0520" w:rsidRDefault="004F7D1E" w:rsidP="000305B7">
      <w:pPr>
        <w:jc w:val="both"/>
      </w:pPr>
      <w:r w:rsidRPr="00FA0520">
        <w:t xml:space="preserve">– реализация проектов создания новых производств в пищевых сегментах рынка; </w:t>
      </w:r>
    </w:p>
    <w:p w:rsidR="004F7D1E" w:rsidRPr="00FA0520" w:rsidRDefault="004F7D1E" w:rsidP="000305B7">
      <w:pPr>
        <w:jc w:val="both"/>
      </w:pPr>
      <w:r w:rsidRPr="00FA0520">
        <w:lastRenderedPageBreak/>
        <w:t xml:space="preserve">– повышение инвестиционной активности хозяйствующих субъектов, в том числе в результате реализации планов мероприятий («дорожных карт») по улучшению условий для предпринимательской и инвестиционной деятельности, внедрению механизмов государственно-частного партнерства; – развитие предпринимательства, в том числе за счет совершенствования налоговой политики, повышения качества государственного регулирования, реализации мер государственной поддержки малого и среднего предпринимательства; </w:t>
      </w:r>
    </w:p>
    <w:p w:rsidR="004F7D1E" w:rsidRPr="00FA0520" w:rsidRDefault="004F7D1E" w:rsidP="000305B7">
      <w:pPr>
        <w:jc w:val="both"/>
      </w:pPr>
      <w:r w:rsidRPr="00FA0520">
        <w:t xml:space="preserve">– восстановление потребительского спроса населения в условиях замедления инфляционных процессов; </w:t>
      </w:r>
    </w:p>
    <w:p w:rsidR="004F7D1E" w:rsidRPr="00FA0520" w:rsidRDefault="004F7D1E" w:rsidP="000305B7">
      <w:pPr>
        <w:jc w:val="both"/>
      </w:pPr>
      <w:r w:rsidRPr="00FA0520">
        <w:t>– сохранение социал</w:t>
      </w:r>
      <w:r w:rsidR="005E19B1" w:rsidRPr="00FA0520">
        <w:t>ьной стабильности, относительно низкого уровня</w:t>
      </w:r>
      <w:r w:rsidRPr="00FA0520">
        <w:t xml:space="preserve"> безработицы. </w:t>
      </w:r>
    </w:p>
    <w:p w:rsidR="005E19B1" w:rsidRPr="007438A4" w:rsidRDefault="005E19B1" w:rsidP="000305B7">
      <w:pPr>
        <w:pStyle w:val="a3"/>
        <w:spacing w:after="0"/>
        <w:ind w:left="0" w:firstLine="720"/>
        <w:jc w:val="both"/>
      </w:pPr>
      <w:r w:rsidRPr="007438A4">
        <w:t>Прогноз социально-экономического развития МО «Ахтубинский район» на 20</w:t>
      </w:r>
      <w:r w:rsidR="00FA0520" w:rsidRPr="007438A4">
        <w:t>20</w:t>
      </w:r>
      <w:r w:rsidRPr="007438A4">
        <w:t xml:space="preserve"> год и плановый период 20</w:t>
      </w:r>
      <w:r w:rsidR="007C4A1D" w:rsidRPr="007438A4">
        <w:t>2</w:t>
      </w:r>
      <w:r w:rsidR="00FA0520" w:rsidRPr="007438A4">
        <w:t>1</w:t>
      </w:r>
      <w:r w:rsidRPr="007438A4">
        <w:t xml:space="preserve"> и 202</w:t>
      </w:r>
      <w:r w:rsidR="00FA0520" w:rsidRPr="007438A4">
        <w:t>2</w:t>
      </w:r>
      <w:r w:rsidRPr="007438A4">
        <w:t xml:space="preserve"> годов (далее – Прогноз) разработан в соответствии с Федеральным законом от 28.06.2014 № 172 «О стратегическом планировании в Российской Федерации», с учетом норм статьи 173 Бюджетного кодекса Российской Федерации, постановлением администрации МО «Ахтубинский район» от 27.11.2015 № 1329 «Об утверждении Порядка разработки прогноза социально-экономического развития МО «Ахтубинский район».</w:t>
      </w:r>
    </w:p>
    <w:p w:rsidR="005E19B1" w:rsidRPr="004359C8" w:rsidRDefault="004F7D1E" w:rsidP="000305B7">
      <w:pPr>
        <w:pStyle w:val="a3"/>
        <w:spacing w:after="0"/>
        <w:ind w:left="0" w:firstLine="720"/>
        <w:jc w:val="both"/>
      </w:pPr>
      <w:r w:rsidRPr="007438A4">
        <w:t xml:space="preserve">Прогноз основных показателей социально-экономического развития </w:t>
      </w:r>
      <w:r w:rsidR="00084FF9" w:rsidRPr="007438A4">
        <w:t xml:space="preserve">МО «Ахтубинский район» </w:t>
      </w:r>
      <w:r w:rsidRPr="007438A4">
        <w:t>в 20</w:t>
      </w:r>
      <w:r w:rsidR="007438A4" w:rsidRPr="007438A4">
        <w:t>20</w:t>
      </w:r>
      <w:r w:rsidRPr="007438A4">
        <w:t xml:space="preserve"> году и плановом периоде 20</w:t>
      </w:r>
      <w:r w:rsidR="007438A4" w:rsidRPr="007438A4">
        <w:t>21</w:t>
      </w:r>
      <w:r w:rsidRPr="007438A4">
        <w:t xml:space="preserve"> и 202</w:t>
      </w:r>
      <w:r w:rsidR="007438A4" w:rsidRPr="007438A4">
        <w:t>2</w:t>
      </w:r>
      <w:r w:rsidRPr="007438A4">
        <w:t xml:space="preserve"> годах выполнен в </w:t>
      </w:r>
      <w:r w:rsidR="007C4A1D" w:rsidRPr="007438A4">
        <w:t>одном варианте</w:t>
      </w:r>
      <w:r w:rsidRPr="007438A4">
        <w:t>, разработанн</w:t>
      </w:r>
      <w:r w:rsidR="007C4A1D" w:rsidRPr="007438A4">
        <w:t>ом</w:t>
      </w:r>
      <w:r w:rsidRPr="007438A4">
        <w:t xml:space="preserve"> на основе сценари</w:t>
      </w:r>
      <w:r w:rsidR="007C4A1D" w:rsidRPr="007438A4">
        <w:t>я</w:t>
      </w:r>
      <w:r w:rsidRPr="007438A4">
        <w:t xml:space="preserve"> социально-экономического развития Российской Федерации, предоставленн</w:t>
      </w:r>
      <w:r w:rsidR="007C4A1D" w:rsidRPr="007438A4">
        <w:t>ого</w:t>
      </w:r>
      <w:r w:rsidRPr="007438A4">
        <w:t xml:space="preserve"> Министерством экономического развития Российской Федерации, с учетом региональных особенностей функционирования экономики</w:t>
      </w:r>
      <w:r w:rsidR="007C4A1D" w:rsidRPr="007438A4">
        <w:t xml:space="preserve"> Астраханской области – базовом</w:t>
      </w:r>
      <w:r w:rsidRPr="007438A4">
        <w:t xml:space="preserve">. </w:t>
      </w:r>
      <w:r w:rsidR="005E19B1" w:rsidRPr="007438A4">
        <w:t>На основе анализа социально-экономического развития района в 201</w:t>
      </w:r>
      <w:r w:rsidR="007438A4" w:rsidRPr="007438A4">
        <w:t>7</w:t>
      </w:r>
      <w:r w:rsidR="005E19B1" w:rsidRPr="007438A4">
        <w:t>-201</w:t>
      </w:r>
      <w:r w:rsidR="007438A4" w:rsidRPr="007438A4">
        <w:t>8</w:t>
      </w:r>
      <w:r w:rsidR="005E19B1" w:rsidRPr="007438A4">
        <w:t xml:space="preserve"> годах и </w:t>
      </w:r>
      <w:r w:rsidR="007C4A1D" w:rsidRPr="007438A4">
        <w:t>первого полугодия</w:t>
      </w:r>
      <w:r w:rsidR="005E19B1" w:rsidRPr="007438A4">
        <w:t xml:space="preserve"> 201</w:t>
      </w:r>
      <w:r w:rsidR="007438A4" w:rsidRPr="007438A4">
        <w:t>9</w:t>
      </w:r>
      <w:r w:rsidR="005E19B1" w:rsidRPr="007438A4">
        <w:t xml:space="preserve"> года </w:t>
      </w:r>
      <w:r w:rsidR="005E19B1" w:rsidRPr="004359C8">
        <w:t xml:space="preserve">с учетом стратегии социально-экономического развития муниципального образования «Ахтубинский район» до 2020 года, муниципальных программ, </w:t>
      </w:r>
      <w:r w:rsidR="005E19B1" w:rsidRPr="003F07AF">
        <w:t>Стратегии социально-экономического развития Астраханской области до 2020 года.</w:t>
      </w:r>
    </w:p>
    <w:p w:rsidR="0087348B" w:rsidRPr="007438A4" w:rsidRDefault="004F7D1E" w:rsidP="001B7969">
      <w:pPr>
        <w:ind w:firstLine="851"/>
        <w:jc w:val="both"/>
      </w:pPr>
      <w:r w:rsidRPr="003F07AF">
        <w:t>Базо</w:t>
      </w:r>
      <w:r w:rsidR="005E19B1" w:rsidRPr="003F07AF">
        <w:t>вый вариант прогноза</w:t>
      </w:r>
      <w:r w:rsidRPr="003F07AF">
        <w:t xml:space="preserve"> предполагает рост расходов домашних хозяйств на конечное потребление, что будет обусловлено положительной динамикой доходов населения и ростом заработной платы в реальном выражении.</w:t>
      </w:r>
      <w:r w:rsidRPr="007438A4">
        <w:t xml:space="preserve"> При этом закладывается сохранение действия финансовых и экономических санкций в отношении российской экономики</w:t>
      </w:r>
      <w:r w:rsidR="007C4A1D" w:rsidRPr="007438A4">
        <w:t xml:space="preserve">. </w:t>
      </w:r>
      <w:r w:rsidRPr="007438A4">
        <w:t>Рост региональной экономики будет поддерживаться сложившимися условиями макро- и мезоуровня, ростом инвестиционной активности начиная с 20</w:t>
      </w:r>
      <w:r w:rsidR="007438A4">
        <w:t>20</w:t>
      </w:r>
      <w:r w:rsidRPr="007438A4">
        <w:t xml:space="preserve"> года, стабильным состоянием экономической конъюнктуры. Соотношения ожидаемых темпов роста отраслей хозяйства позволяют отметить, что лидеры, производящие основной объем добавленной стоимости, останутся на устоявшихся позициях. Базовым вариантом прогноза предусмотрена реализация региональной политики по формированию благоприятного </w:t>
      </w:r>
      <w:r w:rsidRPr="007438A4">
        <w:lastRenderedPageBreak/>
        <w:t xml:space="preserve">инвестиционного климата, стимулированию экономического роста и модернизации производства. </w:t>
      </w:r>
    </w:p>
    <w:p w:rsidR="004F7D1E" w:rsidRPr="001331D2" w:rsidRDefault="004F7D1E" w:rsidP="001B7969">
      <w:pPr>
        <w:ind w:firstLine="851"/>
        <w:jc w:val="both"/>
      </w:pPr>
      <w:r w:rsidRPr="001331D2">
        <w:t xml:space="preserve">Развитие муниципального образования в прогнозном периоде будет зависеть от общих макроэкономических условий, определяющих возможности реализации намеченных локальных задач с учетом обозначенных государством приоритетов. </w:t>
      </w:r>
    </w:p>
    <w:p w:rsidR="004F7D1E" w:rsidRPr="001331D2" w:rsidRDefault="004F7D1E" w:rsidP="000305B7">
      <w:pPr>
        <w:ind w:firstLine="709"/>
        <w:jc w:val="both"/>
      </w:pPr>
      <w:r w:rsidRPr="001331D2">
        <w:t>Базовый вариант прогноза предлагается использовать для разработки параметров районного бюджета на 20</w:t>
      </w:r>
      <w:r w:rsidR="001331D2">
        <w:t>20</w:t>
      </w:r>
      <w:r w:rsidRPr="001331D2">
        <w:t xml:space="preserve"> – 202</w:t>
      </w:r>
      <w:r w:rsidR="001331D2">
        <w:t>2</w:t>
      </w:r>
      <w:r w:rsidRPr="001331D2">
        <w:t xml:space="preserve"> годы.</w:t>
      </w:r>
    </w:p>
    <w:p w:rsidR="00F61365" w:rsidRPr="001331D2" w:rsidRDefault="004F7D1E" w:rsidP="000305B7">
      <w:pPr>
        <w:pStyle w:val="a3"/>
        <w:spacing w:after="0"/>
        <w:ind w:left="0" w:firstLine="720"/>
        <w:jc w:val="both"/>
        <w:rPr>
          <w:b/>
        </w:rPr>
      </w:pPr>
      <w:r w:rsidRPr="001331D2">
        <w:t xml:space="preserve">Социально-экономическая ситуация в </w:t>
      </w:r>
      <w:r w:rsidR="00604257" w:rsidRPr="001331D2">
        <w:t>МО «Ахтубинский район»</w:t>
      </w:r>
      <w:r w:rsidRPr="001331D2">
        <w:t xml:space="preserve"> определяется общероссийскими макроэкономическими условиями, отражает тенденции развития Астраханской области и при этом характеризуется как относительно стабильная. Негативные последствия финансовых и экономических санкций</w:t>
      </w:r>
      <w:r w:rsidR="0087348B" w:rsidRPr="001331D2">
        <w:t xml:space="preserve"> </w:t>
      </w:r>
      <w:r w:rsidRPr="001331D2">
        <w:t xml:space="preserve">продолжают оказывать влияние на экономические показатели </w:t>
      </w:r>
      <w:r w:rsidR="009B5DB8" w:rsidRPr="001331D2">
        <w:t>развития,</w:t>
      </w:r>
      <w:r w:rsidRPr="001331D2">
        <w:t xml:space="preserve"> как района, так и региона в целом. </w:t>
      </w:r>
    </w:p>
    <w:p w:rsidR="0087348B" w:rsidRPr="00FA0520" w:rsidRDefault="001331D2" w:rsidP="001331D2">
      <w:pPr>
        <w:autoSpaceDE w:val="0"/>
        <w:autoSpaceDN w:val="0"/>
        <w:adjustRightInd w:val="0"/>
        <w:ind w:firstLine="709"/>
        <w:jc w:val="both"/>
        <w:outlineLvl w:val="0"/>
        <w:rPr>
          <w:b/>
          <w:highlight w:val="yellow"/>
        </w:rPr>
      </w:pPr>
      <w:r>
        <w:t xml:space="preserve">Прогноз социально-экономического развития </w:t>
      </w:r>
      <w:r w:rsidRPr="001331D2">
        <w:t xml:space="preserve">МО «Ахтубинский район» </w:t>
      </w:r>
      <w:r>
        <w:t xml:space="preserve"> разработан по методологии Минэкономразвития России.</w:t>
      </w:r>
    </w:p>
    <w:p w:rsidR="00B64251" w:rsidRDefault="00B64251" w:rsidP="000305B7">
      <w:pPr>
        <w:autoSpaceDE w:val="0"/>
        <w:autoSpaceDN w:val="0"/>
        <w:adjustRightInd w:val="0"/>
        <w:ind w:firstLine="709"/>
        <w:jc w:val="center"/>
        <w:outlineLvl w:val="0"/>
        <w:rPr>
          <w:b/>
        </w:rPr>
      </w:pPr>
    </w:p>
    <w:p w:rsidR="00716038" w:rsidRPr="001331D2" w:rsidRDefault="00716038" w:rsidP="000305B7">
      <w:pPr>
        <w:autoSpaceDE w:val="0"/>
        <w:autoSpaceDN w:val="0"/>
        <w:adjustRightInd w:val="0"/>
        <w:ind w:firstLine="709"/>
        <w:jc w:val="center"/>
        <w:outlineLvl w:val="0"/>
        <w:rPr>
          <w:b/>
        </w:rPr>
      </w:pPr>
      <w:r w:rsidRPr="001331D2">
        <w:rPr>
          <w:b/>
        </w:rPr>
        <w:t>Промышленность</w:t>
      </w:r>
    </w:p>
    <w:p w:rsidR="00716038" w:rsidRPr="00590235" w:rsidRDefault="00716038" w:rsidP="000305B7">
      <w:pPr>
        <w:autoSpaceDE w:val="0"/>
        <w:autoSpaceDN w:val="0"/>
        <w:adjustRightInd w:val="0"/>
        <w:ind w:firstLine="709"/>
        <w:jc w:val="both"/>
        <w:outlineLvl w:val="0"/>
      </w:pPr>
      <w:r w:rsidRPr="001331D2">
        <w:t>Объем отгруженной продукции по всем видам экономической деятельности в 201</w:t>
      </w:r>
      <w:r w:rsidR="00362F7A">
        <w:t>8</w:t>
      </w:r>
      <w:r w:rsidRPr="001331D2">
        <w:t xml:space="preserve"> году по факту составил </w:t>
      </w:r>
      <w:r w:rsidR="0087348B" w:rsidRPr="001331D2">
        <w:t>3</w:t>
      </w:r>
      <w:r w:rsidR="00362F7A">
        <w:t>300,20</w:t>
      </w:r>
      <w:r w:rsidRPr="001331D2">
        <w:t xml:space="preserve"> мл</w:t>
      </w:r>
      <w:r w:rsidR="00576F0F" w:rsidRPr="001331D2">
        <w:t>н. рублей</w:t>
      </w:r>
      <w:r w:rsidR="002C24B5" w:rsidRPr="001331D2">
        <w:t xml:space="preserve">, это </w:t>
      </w:r>
      <w:r w:rsidR="00362F7A">
        <w:t>90,9</w:t>
      </w:r>
      <w:r w:rsidR="002C24B5" w:rsidRPr="001331D2">
        <w:t xml:space="preserve"> % к уровню 201</w:t>
      </w:r>
      <w:r w:rsidR="00362F7A">
        <w:t>7</w:t>
      </w:r>
      <w:r w:rsidR="002C24B5" w:rsidRPr="001331D2">
        <w:t xml:space="preserve"> года</w:t>
      </w:r>
      <w:r w:rsidR="00576F0F" w:rsidRPr="001331D2">
        <w:t xml:space="preserve"> и </w:t>
      </w:r>
      <w:r w:rsidR="00590235">
        <w:t>90,</w:t>
      </w:r>
      <w:r w:rsidR="00590235" w:rsidRPr="00590235">
        <w:t>6</w:t>
      </w:r>
      <w:r w:rsidR="00576F0F" w:rsidRPr="00590235">
        <w:t xml:space="preserve"> % к оценке</w:t>
      </w:r>
      <w:r w:rsidR="0087348B" w:rsidRPr="00590235">
        <w:t xml:space="preserve"> (в действующих ценах)</w:t>
      </w:r>
      <w:r w:rsidRPr="00590235">
        <w:t>.</w:t>
      </w:r>
    </w:p>
    <w:p w:rsidR="008B50F3" w:rsidRPr="00D31AFF" w:rsidRDefault="00C638EE" w:rsidP="000305B7">
      <w:pPr>
        <w:ind w:firstLine="709"/>
        <w:jc w:val="both"/>
      </w:pPr>
      <w:r w:rsidRPr="00557FE8">
        <w:t xml:space="preserve">В структуре отгруженных товаров, выполненных работ и услуг </w:t>
      </w:r>
      <w:r w:rsidR="00557FE8">
        <w:t>24,3</w:t>
      </w:r>
      <w:r w:rsidR="005E484B" w:rsidRPr="00557FE8">
        <w:t xml:space="preserve"> </w:t>
      </w:r>
      <w:r w:rsidRPr="00557FE8">
        <w:t xml:space="preserve">% приходится на обрабатывающие производства, </w:t>
      </w:r>
      <w:r w:rsidR="00557FE8" w:rsidRPr="00557FE8">
        <w:t>9,3</w:t>
      </w:r>
      <w:r w:rsidR="005E484B" w:rsidRPr="00557FE8">
        <w:t xml:space="preserve"> </w:t>
      </w:r>
      <w:r w:rsidRPr="00557FE8">
        <w:t xml:space="preserve">% – </w:t>
      </w:r>
      <w:r w:rsidR="008B50F3" w:rsidRPr="00557FE8">
        <w:t xml:space="preserve">обеспечение электрической энергией, газом и паром; кондиционирование воздуха; </w:t>
      </w:r>
      <w:r w:rsidR="00D31AFF">
        <w:t>4,</w:t>
      </w:r>
      <w:r w:rsidR="00D31AFF" w:rsidRPr="00D31AFF">
        <w:t>3</w:t>
      </w:r>
      <w:r w:rsidR="008B50F3" w:rsidRPr="00D31AFF">
        <w:t xml:space="preserve"> % водоснабжение; водоотведение, организация сбора и утилизации отходов, деятельность по ликвидации загрязнений</w:t>
      </w:r>
      <w:r w:rsidR="005E484B" w:rsidRPr="00D31AFF">
        <w:t xml:space="preserve"> и </w:t>
      </w:r>
      <w:r w:rsidR="00D31AFF" w:rsidRPr="00D31AFF">
        <w:t>62,1</w:t>
      </w:r>
      <w:r w:rsidR="000305B7" w:rsidRPr="00D31AFF">
        <w:t xml:space="preserve"> </w:t>
      </w:r>
      <w:r w:rsidR="005E484B" w:rsidRPr="00D31AFF">
        <w:t xml:space="preserve">% </w:t>
      </w:r>
      <w:r w:rsidR="008B50F3" w:rsidRPr="00D31AFF">
        <w:t xml:space="preserve">на </w:t>
      </w:r>
      <w:r w:rsidR="005E484B" w:rsidRPr="00D31AFF">
        <w:t>предприятия по добыче полезных ископаемых</w:t>
      </w:r>
      <w:r w:rsidRPr="00D31AFF">
        <w:t xml:space="preserve">. </w:t>
      </w:r>
    </w:p>
    <w:p w:rsidR="0077721B" w:rsidRPr="00D31AFF" w:rsidRDefault="00C638EE" w:rsidP="000305B7">
      <w:pPr>
        <w:ind w:firstLine="709"/>
        <w:jc w:val="both"/>
      </w:pPr>
      <w:r w:rsidRPr="00D31AFF">
        <w:t>Объем отгруженных товаров собственного производства обрабатывающих производств за 201</w:t>
      </w:r>
      <w:r w:rsidR="00D31AFF">
        <w:t>8</w:t>
      </w:r>
      <w:r w:rsidRPr="00D31AFF">
        <w:t xml:space="preserve"> год составил </w:t>
      </w:r>
      <w:r w:rsidR="00D31AFF">
        <w:t>803,1</w:t>
      </w:r>
      <w:r w:rsidRPr="00D31AFF">
        <w:t xml:space="preserve"> млн</w:t>
      </w:r>
      <w:r w:rsidR="009B5DB8" w:rsidRPr="00D31AFF">
        <w:t>.</w:t>
      </w:r>
      <w:r w:rsidRPr="00D31AFF">
        <w:t xml:space="preserve"> рублей или </w:t>
      </w:r>
      <w:r w:rsidR="00D31AFF">
        <w:t>9</w:t>
      </w:r>
      <w:r w:rsidR="008B50F3" w:rsidRPr="00D31AFF">
        <w:t>4,</w:t>
      </w:r>
      <w:r w:rsidR="00D31AFF">
        <w:t>8</w:t>
      </w:r>
      <w:r w:rsidR="005E484B" w:rsidRPr="00D31AFF">
        <w:t xml:space="preserve"> </w:t>
      </w:r>
      <w:r w:rsidRPr="00D31AFF">
        <w:t xml:space="preserve">% к уровню прошлого года в действующих ценах. </w:t>
      </w:r>
    </w:p>
    <w:p w:rsidR="001640D2" w:rsidRPr="00D31AFF" w:rsidRDefault="00C638EE" w:rsidP="000305B7">
      <w:pPr>
        <w:ind w:firstLine="709"/>
        <w:jc w:val="both"/>
      </w:pPr>
      <w:r w:rsidRPr="00D31AFF">
        <w:t>На предприятиях по обеспечению электрической энергией, газом и паром; кондиционированием воздуха объем отгруженной продукции в 201</w:t>
      </w:r>
      <w:r w:rsidR="00D31AFF" w:rsidRPr="00D31AFF">
        <w:t>8</w:t>
      </w:r>
      <w:r w:rsidRPr="00D31AFF">
        <w:t xml:space="preserve"> году сложился в размере </w:t>
      </w:r>
      <w:r w:rsidR="00D31AFF" w:rsidRPr="00D31AFF">
        <w:t>306,3</w:t>
      </w:r>
      <w:r w:rsidRPr="00D31AFF">
        <w:t xml:space="preserve"> млн</w:t>
      </w:r>
      <w:r w:rsidR="00426A30" w:rsidRPr="00D31AFF">
        <w:t>.</w:t>
      </w:r>
      <w:r w:rsidRPr="00D31AFF">
        <w:t xml:space="preserve"> рублей или </w:t>
      </w:r>
      <w:r w:rsidR="0077721B" w:rsidRPr="00D31AFF">
        <w:t>1</w:t>
      </w:r>
      <w:r w:rsidR="00D31AFF" w:rsidRPr="00D31AFF">
        <w:t>05</w:t>
      </w:r>
      <w:r w:rsidR="0077721B" w:rsidRPr="00D31AFF">
        <w:t>,5</w:t>
      </w:r>
      <w:r w:rsidR="001640D2" w:rsidRPr="00D31AFF">
        <w:t xml:space="preserve"> </w:t>
      </w:r>
      <w:r w:rsidRPr="00D31AFF">
        <w:t xml:space="preserve">% к уровню прошлого года. </w:t>
      </w:r>
    </w:p>
    <w:p w:rsidR="001640D2" w:rsidRPr="00C52A40" w:rsidRDefault="001640D2" w:rsidP="000305B7">
      <w:pPr>
        <w:ind w:firstLine="709"/>
        <w:jc w:val="both"/>
      </w:pPr>
      <w:r w:rsidRPr="00C52A40">
        <w:t xml:space="preserve">На предприятиях по добыче полезных ископаемых объем отгруженных товаров </w:t>
      </w:r>
      <w:r w:rsidR="0077721B" w:rsidRPr="00C52A40">
        <w:t>1</w:t>
      </w:r>
      <w:r w:rsidR="00C52A40" w:rsidRPr="00C52A40">
        <w:t>08,5</w:t>
      </w:r>
      <w:r w:rsidRPr="00C52A40">
        <w:t xml:space="preserve"> % к уровню прошлого года.</w:t>
      </w:r>
    </w:p>
    <w:p w:rsidR="0077721B" w:rsidRPr="00C52A40" w:rsidRDefault="0077721B" w:rsidP="0077721B">
      <w:pPr>
        <w:ind w:firstLine="709"/>
        <w:jc w:val="both"/>
      </w:pPr>
      <w:r w:rsidRPr="00C52A40">
        <w:t>На предприятиях по водоснабжению; водоотведению, организации сбора и утилизации отходов, деятельности по ликвидации загрязнений объем отгруженной продукции в 201</w:t>
      </w:r>
      <w:r w:rsidR="00C52A40">
        <w:t>8</w:t>
      </w:r>
      <w:r w:rsidRPr="00C52A40">
        <w:t xml:space="preserve"> году сложился в размере 141,</w:t>
      </w:r>
      <w:r w:rsidR="00C52A40" w:rsidRPr="00C52A40">
        <w:t>6</w:t>
      </w:r>
      <w:r w:rsidRPr="00C52A40">
        <w:t xml:space="preserve"> млн. рублей или 1</w:t>
      </w:r>
      <w:r w:rsidR="00C52A40" w:rsidRPr="00C52A40">
        <w:t>06,7</w:t>
      </w:r>
      <w:r w:rsidRPr="00C52A40">
        <w:t xml:space="preserve"> % к уровню прошлого года. </w:t>
      </w:r>
    </w:p>
    <w:p w:rsidR="002C24B5" w:rsidRPr="00682123" w:rsidRDefault="002C24B5" w:rsidP="000305B7">
      <w:pPr>
        <w:autoSpaceDE w:val="0"/>
        <w:autoSpaceDN w:val="0"/>
        <w:adjustRightInd w:val="0"/>
        <w:ind w:firstLine="709"/>
        <w:jc w:val="both"/>
        <w:outlineLvl w:val="0"/>
      </w:pPr>
      <w:r w:rsidRPr="00C52A40">
        <w:t>В целом, совокупный объем отгруженной продукции по всем видам экономической деятельности в 201</w:t>
      </w:r>
      <w:r w:rsidR="00C52A40" w:rsidRPr="00C52A40">
        <w:t>9</w:t>
      </w:r>
      <w:r w:rsidRPr="00C52A40">
        <w:t xml:space="preserve"> году, по оценке, составит </w:t>
      </w:r>
      <w:r w:rsidR="0077721B" w:rsidRPr="00C52A40">
        <w:t>3</w:t>
      </w:r>
      <w:r w:rsidR="00C52A40" w:rsidRPr="00C52A40">
        <w:t>813,41</w:t>
      </w:r>
      <w:r w:rsidRPr="00C52A40">
        <w:t xml:space="preserve"> млн. рублей </w:t>
      </w:r>
      <w:r w:rsidRPr="00682123">
        <w:t xml:space="preserve">(прогноз </w:t>
      </w:r>
      <w:r w:rsidR="00682123" w:rsidRPr="00682123">
        <w:t>3728,95</w:t>
      </w:r>
      <w:r w:rsidRPr="00682123">
        <w:t xml:space="preserve"> млн. руб.), что выше уровня 201</w:t>
      </w:r>
      <w:r w:rsidR="00682123" w:rsidRPr="00682123">
        <w:t>8</w:t>
      </w:r>
      <w:r w:rsidRPr="00682123">
        <w:t xml:space="preserve"> года в </w:t>
      </w:r>
      <w:r w:rsidR="0077721B" w:rsidRPr="00682123">
        <w:t>действующих</w:t>
      </w:r>
      <w:r w:rsidRPr="00682123">
        <w:t xml:space="preserve"> ценах на </w:t>
      </w:r>
      <w:r w:rsidR="00682123" w:rsidRPr="00682123">
        <w:t>15</w:t>
      </w:r>
      <w:r w:rsidR="0077721B" w:rsidRPr="00682123">
        <w:t>,</w:t>
      </w:r>
      <w:r w:rsidR="00682123" w:rsidRPr="00682123">
        <w:t>6</w:t>
      </w:r>
      <w:r w:rsidRPr="00682123">
        <w:t xml:space="preserve"> %</w:t>
      </w:r>
      <w:r w:rsidR="00682123" w:rsidRPr="00682123">
        <w:t xml:space="preserve"> (</w:t>
      </w:r>
      <w:r w:rsidR="00583D81">
        <w:t>2019оценка</w:t>
      </w:r>
      <w:r w:rsidR="00682123">
        <w:t>/</w:t>
      </w:r>
      <w:r w:rsidR="00583D81">
        <w:t>2018факт</w:t>
      </w:r>
      <w:r w:rsidR="00682123">
        <w:t>*100-</w:t>
      </w:r>
      <w:r w:rsidR="00682123" w:rsidRPr="00682123">
        <w:t>100)</w:t>
      </w:r>
      <w:r w:rsidRPr="00682123">
        <w:t xml:space="preserve"> и прогноза 201</w:t>
      </w:r>
      <w:r w:rsidR="00682123" w:rsidRPr="00682123">
        <w:t>9</w:t>
      </w:r>
      <w:r w:rsidRPr="00682123">
        <w:t xml:space="preserve"> года на </w:t>
      </w:r>
      <w:r w:rsidR="00682123" w:rsidRPr="00682123">
        <w:t>2,3</w:t>
      </w:r>
      <w:r w:rsidRPr="00682123">
        <w:t xml:space="preserve"> %. </w:t>
      </w:r>
    </w:p>
    <w:p w:rsidR="002C24B5" w:rsidRPr="00583D81" w:rsidRDefault="002C24B5" w:rsidP="000305B7">
      <w:pPr>
        <w:ind w:firstLine="709"/>
        <w:jc w:val="both"/>
      </w:pPr>
      <w:r w:rsidRPr="00583D81">
        <w:lastRenderedPageBreak/>
        <w:t>В 20</w:t>
      </w:r>
      <w:r w:rsidR="00682123" w:rsidRPr="00583D81">
        <w:t>20</w:t>
      </w:r>
      <w:r w:rsidRPr="00583D81">
        <w:t xml:space="preserve"> году объем отгруженной продукции ожидается в размере </w:t>
      </w:r>
      <w:r w:rsidR="00682123" w:rsidRPr="00583D81">
        <w:t>3975,25</w:t>
      </w:r>
      <w:r w:rsidRPr="00583D81">
        <w:t xml:space="preserve"> млн. рублей с ростом в </w:t>
      </w:r>
      <w:r w:rsidR="00BB7461" w:rsidRPr="00583D81">
        <w:t>действующих</w:t>
      </w:r>
      <w:r w:rsidRPr="00583D81">
        <w:t xml:space="preserve"> ценах на </w:t>
      </w:r>
      <w:r w:rsidR="00583D81" w:rsidRPr="00583D81">
        <w:t>4,2</w:t>
      </w:r>
      <w:r w:rsidRPr="00583D81">
        <w:t xml:space="preserve"> %</w:t>
      </w:r>
      <w:r w:rsidR="00583D81" w:rsidRPr="00583D81">
        <w:t xml:space="preserve"> (</w:t>
      </w:r>
      <w:r w:rsidR="00583D81">
        <w:t>2020прогноз</w:t>
      </w:r>
      <w:r w:rsidR="00583D81" w:rsidRPr="00583D81">
        <w:t>/3813,41*100-100)</w:t>
      </w:r>
      <w:r w:rsidRPr="00583D81">
        <w:t xml:space="preserve">. </w:t>
      </w:r>
    </w:p>
    <w:p w:rsidR="002C24B5" w:rsidRPr="004359C8" w:rsidRDefault="002C24B5" w:rsidP="000305B7">
      <w:pPr>
        <w:ind w:firstLine="709"/>
        <w:jc w:val="both"/>
      </w:pPr>
      <w:r w:rsidRPr="004359C8">
        <w:t>В 20</w:t>
      </w:r>
      <w:r w:rsidR="00BB7461" w:rsidRPr="004359C8">
        <w:t>2</w:t>
      </w:r>
      <w:r w:rsidR="004359C8" w:rsidRPr="004359C8">
        <w:t>1</w:t>
      </w:r>
      <w:r w:rsidRPr="004359C8">
        <w:t xml:space="preserve"> году объем отгруженной продукции в сопоставимых условиях возрастет к 20</w:t>
      </w:r>
      <w:r w:rsidR="004359C8" w:rsidRPr="004359C8">
        <w:t>20</w:t>
      </w:r>
      <w:r w:rsidRPr="004359C8">
        <w:t xml:space="preserve"> году на </w:t>
      </w:r>
      <w:r w:rsidR="004359C8" w:rsidRPr="004359C8">
        <w:t>5,2</w:t>
      </w:r>
      <w:r w:rsidRPr="004359C8">
        <w:t xml:space="preserve"> % и составит </w:t>
      </w:r>
      <w:r w:rsidR="004359C8" w:rsidRPr="004359C8">
        <w:t>4184,51</w:t>
      </w:r>
      <w:r w:rsidRPr="004359C8">
        <w:t xml:space="preserve"> млн. рублей. </w:t>
      </w:r>
    </w:p>
    <w:p w:rsidR="002C24B5" w:rsidRPr="004359C8" w:rsidRDefault="002C24B5" w:rsidP="000305B7">
      <w:pPr>
        <w:ind w:firstLine="709"/>
        <w:jc w:val="both"/>
      </w:pPr>
      <w:r w:rsidRPr="004359C8">
        <w:t>В 202</w:t>
      </w:r>
      <w:r w:rsidR="004359C8" w:rsidRPr="004359C8">
        <w:t>2</w:t>
      </w:r>
      <w:r w:rsidRPr="004359C8">
        <w:t xml:space="preserve"> году объем отгруженной продукции в сопоставимых условиях возрастет к 20</w:t>
      </w:r>
      <w:r w:rsidR="00BB7461" w:rsidRPr="004359C8">
        <w:t>2</w:t>
      </w:r>
      <w:r w:rsidR="004359C8" w:rsidRPr="004359C8">
        <w:t>1</w:t>
      </w:r>
      <w:r w:rsidRPr="004359C8">
        <w:t xml:space="preserve"> году на </w:t>
      </w:r>
      <w:r w:rsidR="00BB7461" w:rsidRPr="004359C8">
        <w:t>4,</w:t>
      </w:r>
      <w:r w:rsidR="004359C8" w:rsidRPr="004359C8">
        <w:t>4</w:t>
      </w:r>
      <w:r w:rsidRPr="004359C8">
        <w:t xml:space="preserve"> % и составит </w:t>
      </w:r>
      <w:r w:rsidR="004359C8" w:rsidRPr="004359C8">
        <w:t>4370,05</w:t>
      </w:r>
      <w:r w:rsidRPr="004359C8">
        <w:t xml:space="preserve"> млн. рублей. </w:t>
      </w:r>
    </w:p>
    <w:p w:rsidR="00716038" w:rsidRPr="004359C8" w:rsidRDefault="00C638EE" w:rsidP="000305B7">
      <w:pPr>
        <w:ind w:firstLine="709"/>
        <w:jc w:val="both"/>
      </w:pPr>
      <w:r w:rsidRPr="004359C8">
        <w:t>При расчете параметров прогноза промышленного производства на период до 202</w:t>
      </w:r>
      <w:r w:rsidR="004359C8" w:rsidRPr="004359C8">
        <w:t>2</w:t>
      </w:r>
      <w:r w:rsidRPr="004359C8">
        <w:t xml:space="preserve"> года учитывались общие тенденции развития производства, данные анализа положения на внутреннем рынке, ожидаемый платежеспособный спрос потребителей, возможности использования других местных сырьевых ресурсов. </w:t>
      </w:r>
    </w:p>
    <w:p w:rsidR="000305B7" w:rsidRPr="00FA0520" w:rsidRDefault="000305B7" w:rsidP="000305B7">
      <w:pPr>
        <w:ind w:firstLine="709"/>
        <w:jc w:val="both"/>
        <w:rPr>
          <w:highlight w:val="yellow"/>
        </w:rPr>
      </w:pPr>
    </w:p>
    <w:p w:rsidR="00716038" w:rsidRPr="00C261ED" w:rsidRDefault="00716038" w:rsidP="000305B7">
      <w:pPr>
        <w:autoSpaceDE w:val="0"/>
        <w:autoSpaceDN w:val="0"/>
        <w:adjustRightInd w:val="0"/>
        <w:ind w:firstLine="709"/>
        <w:jc w:val="center"/>
        <w:outlineLvl w:val="0"/>
        <w:rPr>
          <w:b/>
        </w:rPr>
      </w:pPr>
      <w:r w:rsidRPr="00C261ED">
        <w:rPr>
          <w:b/>
        </w:rPr>
        <w:t>Сельское хозяйство</w:t>
      </w:r>
    </w:p>
    <w:p w:rsidR="00996025" w:rsidRPr="00C261ED" w:rsidRDefault="00996025" w:rsidP="00996025">
      <w:pPr>
        <w:pStyle w:val="a6"/>
        <w:shd w:val="clear" w:color="auto" w:fill="FFFFFF"/>
        <w:spacing w:before="0" w:beforeAutospacing="0" w:after="0" w:afterAutospacing="0"/>
        <w:ind w:firstLine="709"/>
        <w:jc w:val="both"/>
        <w:rPr>
          <w:sz w:val="28"/>
          <w:szCs w:val="28"/>
        </w:rPr>
      </w:pPr>
      <w:r w:rsidRPr="00C261ED">
        <w:rPr>
          <w:sz w:val="28"/>
          <w:szCs w:val="28"/>
        </w:rPr>
        <w:t>За последние годы Ахтубинский район достиг значительных результатов в развитии агропромышленного комплекса, особенно в растениеводческой отрасли, занимая одно из лидирующих мест по производству овощебахчевой продукции.</w:t>
      </w:r>
    </w:p>
    <w:p w:rsidR="00996025" w:rsidRPr="00C261ED" w:rsidRDefault="00996025" w:rsidP="00996025">
      <w:pPr>
        <w:pStyle w:val="a6"/>
        <w:shd w:val="clear" w:color="auto" w:fill="FFFFFF"/>
        <w:spacing w:before="0" w:beforeAutospacing="0" w:after="0" w:afterAutospacing="0"/>
        <w:ind w:firstLine="709"/>
        <w:jc w:val="both"/>
        <w:rPr>
          <w:sz w:val="28"/>
          <w:szCs w:val="28"/>
        </w:rPr>
      </w:pPr>
      <w:r w:rsidRPr="00C261ED">
        <w:rPr>
          <w:sz w:val="28"/>
          <w:szCs w:val="28"/>
        </w:rPr>
        <w:t>Сельскохозяйственное производство Ахтубинского района имеет многоотраслевую структуру: овощеводство, картофелеводство, бахчеводство, молочное и мясное скотоводство, овцеводство и птицеводство.</w:t>
      </w:r>
    </w:p>
    <w:p w:rsidR="00996025" w:rsidRPr="00C261ED" w:rsidRDefault="00996025" w:rsidP="00996025">
      <w:pPr>
        <w:pStyle w:val="a6"/>
        <w:shd w:val="clear" w:color="auto" w:fill="FFFFFF"/>
        <w:spacing w:before="0" w:beforeAutospacing="0" w:after="0" w:afterAutospacing="0"/>
        <w:ind w:firstLine="709"/>
        <w:jc w:val="both"/>
        <w:rPr>
          <w:sz w:val="28"/>
          <w:szCs w:val="28"/>
        </w:rPr>
      </w:pPr>
      <w:r w:rsidRPr="00C261ED">
        <w:rPr>
          <w:sz w:val="28"/>
          <w:szCs w:val="28"/>
        </w:rPr>
        <w:t xml:space="preserve">Производством сельскохозяйственной продукции в районе занимаются </w:t>
      </w:r>
      <w:r w:rsidR="00C261ED" w:rsidRPr="00C261ED">
        <w:rPr>
          <w:sz w:val="28"/>
          <w:szCs w:val="28"/>
        </w:rPr>
        <w:t>7</w:t>
      </w:r>
      <w:r w:rsidRPr="00C261ED">
        <w:rPr>
          <w:sz w:val="28"/>
          <w:szCs w:val="28"/>
        </w:rPr>
        <w:t xml:space="preserve"> сельскохозяйственных</w:t>
      </w:r>
      <w:r w:rsidR="00C261ED" w:rsidRPr="00C261ED">
        <w:rPr>
          <w:sz w:val="28"/>
          <w:szCs w:val="28"/>
        </w:rPr>
        <w:t xml:space="preserve"> производственных кооператива, </w:t>
      </w:r>
      <w:r w:rsidR="005F782A">
        <w:rPr>
          <w:sz w:val="28"/>
          <w:szCs w:val="28"/>
        </w:rPr>
        <w:t xml:space="preserve">2 СПК, </w:t>
      </w:r>
      <w:r w:rsidR="00C261ED" w:rsidRPr="00C261ED">
        <w:rPr>
          <w:sz w:val="28"/>
          <w:szCs w:val="28"/>
        </w:rPr>
        <w:t>8</w:t>
      </w:r>
      <w:r w:rsidRPr="00C261ED">
        <w:rPr>
          <w:sz w:val="28"/>
          <w:szCs w:val="28"/>
        </w:rPr>
        <w:t xml:space="preserve"> обществ с ограниченной ответственностью, 3 логистических центра, </w:t>
      </w:r>
      <w:r w:rsidRPr="003277EE">
        <w:rPr>
          <w:sz w:val="28"/>
          <w:szCs w:val="28"/>
        </w:rPr>
        <w:t>2</w:t>
      </w:r>
      <w:r w:rsidR="00C261ED" w:rsidRPr="003277EE">
        <w:rPr>
          <w:sz w:val="28"/>
          <w:szCs w:val="28"/>
        </w:rPr>
        <w:t>51</w:t>
      </w:r>
      <w:r w:rsidRPr="003277EE">
        <w:rPr>
          <w:sz w:val="28"/>
          <w:szCs w:val="28"/>
        </w:rPr>
        <w:t xml:space="preserve"> фермера</w:t>
      </w:r>
      <w:r w:rsidR="00C261ED" w:rsidRPr="003277EE">
        <w:rPr>
          <w:sz w:val="28"/>
          <w:szCs w:val="28"/>
        </w:rPr>
        <w:t xml:space="preserve"> </w:t>
      </w:r>
      <w:r w:rsidRPr="00C261ED">
        <w:rPr>
          <w:sz w:val="28"/>
          <w:szCs w:val="28"/>
        </w:rPr>
        <w:t xml:space="preserve">и </w:t>
      </w:r>
      <w:r w:rsidR="00C261ED" w:rsidRPr="00C261ED">
        <w:rPr>
          <w:sz w:val="28"/>
          <w:szCs w:val="28"/>
        </w:rPr>
        <w:t xml:space="preserve">5040 </w:t>
      </w:r>
      <w:r w:rsidRPr="00C261ED">
        <w:rPr>
          <w:sz w:val="28"/>
          <w:szCs w:val="28"/>
        </w:rPr>
        <w:t>личны</w:t>
      </w:r>
      <w:r w:rsidR="00C261ED" w:rsidRPr="00C261ED">
        <w:rPr>
          <w:sz w:val="28"/>
          <w:szCs w:val="28"/>
        </w:rPr>
        <w:t>х</w:t>
      </w:r>
      <w:r w:rsidRPr="00C261ED">
        <w:rPr>
          <w:sz w:val="28"/>
          <w:szCs w:val="28"/>
        </w:rPr>
        <w:t xml:space="preserve"> подсобны</w:t>
      </w:r>
      <w:r w:rsidR="00C261ED" w:rsidRPr="00C261ED">
        <w:rPr>
          <w:sz w:val="28"/>
          <w:szCs w:val="28"/>
        </w:rPr>
        <w:t>х</w:t>
      </w:r>
      <w:r w:rsidRPr="00C261ED">
        <w:rPr>
          <w:sz w:val="28"/>
          <w:szCs w:val="28"/>
        </w:rPr>
        <w:t xml:space="preserve"> хозяйств. </w:t>
      </w:r>
    </w:p>
    <w:p w:rsidR="00996025" w:rsidRPr="002B1EC2" w:rsidRDefault="00996025" w:rsidP="00996025">
      <w:pPr>
        <w:ind w:firstLine="709"/>
        <w:jc w:val="both"/>
      </w:pPr>
      <w:r w:rsidRPr="002B1EC2">
        <w:t>В 201</w:t>
      </w:r>
      <w:r w:rsidR="002B1EC2" w:rsidRPr="002B1EC2">
        <w:t>8</w:t>
      </w:r>
      <w:r w:rsidRPr="002B1EC2">
        <w:t xml:space="preserve"> году общая посевная площадь, занятая под сельскохозяйственными культурами составила </w:t>
      </w:r>
      <w:r w:rsidR="002B1EC2" w:rsidRPr="002B1EC2">
        <w:t xml:space="preserve">8,2 </w:t>
      </w:r>
      <w:r w:rsidRPr="002B1EC2">
        <w:t>тыс. га</w:t>
      </w:r>
      <w:r w:rsidR="00E9754D">
        <w:t>, что составило 102,4% к уровню</w:t>
      </w:r>
      <w:r w:rsidRPr="002B1EC2">
        <w:t xml:space="preserve">. Увеличение площадей составило </w:t>
      </w:r>
      <w:r w:rsidR="002B1EC2" w:rsidRPr="002B1EC2">
        <w:t>2,4</w:t>
      </w:r>
      <w:r w:rsidRPr="002B1EC2">
        <w:t xml:space="preserve"> %. </w:t>
      </w:r>
    </w:p>
    <w:p w:rsidR="002B1EC2" w:rsidRDefault="002B1EC2" w:rsidP="00E9754D">
      <w:pPr>
        <w:ind w:firstLine="567"/>
        <w:jc w:val="both"/>
      </w:pPr>
      <w:r w:rsidRPr="00932175">
        <w:t>Валовое производство продукции сельского хо</w:t>
      </w:r>
      <w:r w:rsidR="00CD796E">
        <w:t xml:space="preserve">зяйства в 2018 году составило 5748,39 </w:t>
      </w:r>
      <w:r w:rsidRPr="00932175">
        <w:t xml:space="preserve">млн. рублей, </w:t>
      </w:r>
      <w:r w:rsidR="00D26AC2">
        <w:t>что выше уровня 2017 года на 2,3</w:t>
      </w:r>
      <w:r w:rsidR="003053F1">
        <w:t>% и выше уровня оценки на 2,7%.</w:t>
      </w:r>
    </w:p>
    <w:p w:rsidR="005F782A" w:rsidRPr="004A30D1" w:rsidRDefault="005F782A" w:rsidP="005F782A">
      <w:pPr>
        <w:ind w:firstLine="708"/>
        <w:jc w:val="both"/>
      </w:pPr>
      <w:r w:rsidRPr="004A30D1">
        <w:t>В 2018 году осуществлялась техническая и технологическая модернизация производства.</w:t>
      </w:r>
      <w:r>
        <w:t xml:space="preserve"> Например, с</w:t>
      </w:r>
      <w:r w:rsidRPr="004A30D1">
        <w:t>ельскохозяйственными товаропроизводителями Ахтубинского района была проведена следующая работа: запущен  в работу цех по убою скота, ООО «Птицефабрикой «Владимировская» была проведена модернизация яйцесклада и кормоцеха, приобретены комплект птицеводческого оборудования, автомобильная большегрузная техника, вентиляционное оборудование на общую сумму 118 млн. рублей.</w:t>
      </w:r>
    </w:p>
    <w:p w:rsidR="005F782A" w:rsidRPr="004A30D1" w:rsidRDefault="005F782A" w:rsidP="005F782A">
      <w:pPr>
        <w:ind w:firstLine="567"/>
        <w:jc w:val="both"/>
      </w:pPr>
      <w:r w:rsidRPr="004A30D1">
        <w:t xml:space="preserve">Два сельскохозяйственных снабженческо-сбытовых кооператива в 2019 году получили средства гранта на развитие материально-технической базы в размере 18 млн. рублей. Сельскохозяйственные снабженческо-сбытовые кооперативы в 2018 году приобрели: установку кондиционирования воздуха, </w:t>
      </w:r>
      <w:r w:rsidRPr="004A30D1">
        <w:lastRenderedPageBreak/>
        <w:t xml:space="preserve">упаковочную, сортировочную машины, загрузчик в хранилище, транспортер, элеватор, весы.   </w:t>
      </w:r>
    </w:p>
    <w:p w:rsidR="005F782A" w:rsidRPr="004A30D1" w:rsidRDefault="005F782A" w:rsidP="005F782A">
      <w:pPr>
        <w:ind w:firstLine="567"/>
        <w:jc w:val="both"/>
      </w:pPr>
      <w:r w:rsidRPr="004A30D1">
        <w:t>Так же в 2018 году СССПК «ЮгОвощСбыт» продолжилось строительство тепличного комплекса, состоящего из посевного цеха и 19 теплиц общей площадью 19000 кв.м.</w:t>
      </w:r>
    </w:p>
    <w:p w:rsidR="005F782A" w:rsidRPr="004A30D1" w:rsidRDefault="005F782A" w:rsidP="005F782A">
      <w:pPr>
        <w:ind w:firstLine="567"/>
        <w:jc w:val="both"/>
      </w:pPr>
      <w:r w:rsidRPr="004A30D1">
        <w:t xml:space="preserve">В районе на начало текущего года имеется 34 овощехранилища общей емкостью 58,7 тыс. тонн. </w:t>
      </w:r>
    </w:p>
    <w:p w:rsidR="005F782A" w:rsidRPr="004A30D1" w:rsidRDefault="005F782A" w:rsidP="005F782A">
      <w:pPr>
        <w:ind w:firstLine="567"/>
        <w:jc w:val="both"/>
      </w:pPr>
      <w:r w:rsidRPr="004A30D1">
        <w:rPr>
          <w:lang w:eastAsia="x-none"/>
        </w:rPr>
        <w:t xml:space="preserve">В рамках подпрограммы «Развитие мелиорации земель сельскохозяйственного назначения Астраханской области» государственной программы «Развитие агропромышленного комплекса Астраханской области» техническое перевооружение мелиоративной системы с использованием капельного орошения </w:t>
      </w:r>
      <w:r w:rsidRPr="004A30D1">
        <w:t>произвело ООО «АгроПрогрессАхтуба» на площади 220 га общей стоимостью порядка 15 млн. рублей.</w:t>
      </w:r>
    </w:p>
    <w:p w:rsidR="005F782A" w:rsidRPr="004A30D1" w:rsidRDefault="005F782A" w:rsidP="005F782A">
      <w:pPr>
        <w:ind w:right="-1" w:firstLine="708"/>
        <w:jc w:val="both"/>
      </w:pPr>
      <w:r w:rsidRPr="004A30D1">
        <w:t>Кроме того, в рамках технического обновления парка сельскохозяйственной техники сельхозтоваропроизводителями района за 2018 год приобретено 83 ед. с/х техники на общую сумму 255,6 млн. рублей, в т.ч. 48 единиц почвообрабатывающей, оросительной и прочей техники на общую сумму 32 млн. рублей, тракторов – 6 единиц на общую сумму 19 млн. рублей и 30 единиц складского оборудования на общую сумму 139,3 млн. рублей.</w:t>
      </w:r>
    </w:p>
    <w:p w:rsidR="00716038" w:rsidRPr="003277EE" w:rsidRDefault="00716038" w:rsidP="000305B7">
      <w:pPr>
        <w:autoSpaceDE w:val="0"/>
        <w:autoSpaceDN w:val="0"/>
        <w:adjustRightInd w:val="0"/>
        <w:ind w:firstLine="709"/>
        <w:jc w:val="both"/>
      </w:pPr>
      <w:r w:rsidRPr="003277EE">
        <w:t>В 201</w:t>
      </w:r>
      <w:r w:rsidR="003053F1" w:rsidRPr="003277EE">
        <w:t>9</w:t>
      </w:r>
      <w:r w:rsidRPr="003277EE">
        <w:t xml:space="preserve"> году валовая продукция сельского хозяйства по оценке достигнет </w:t>
      </w:r>
      <w:r w:rsidR="003053F1" w:rsidRPr="003277EE">
        <w:t>6143,87</w:t>
      </w:r>
      <w:r w:rsidRPr="003277EE">
        <w:t xml:space="preserve"> млн. руб. (прогноз </w:t>
      </w:r>
      <w:r w:rsidR="003053F1" w:rsidRPr="003277EE">
        <w:t>5894,11</w:t>
      </w:r>
      <w:r w:rsidR="000C2EBF" w:rsidRPr="000C2EBF">
        <w:t xml:space="preserve"> </w:t>
      </w:r>
      <w:r w:rsidR="000C2EBF" w:rsidRPr="003277EE">
        <w:t>млн. руб.</w:t>
      </w:r>
      <w:r w:rsidRPr="003277EE">
        <w:t>), что выше уровня 201</w:t>
      </w:r>
      <w:r w:rsidR="003053F1" w:rsidRPr="003277EE">
        <w:t>8</w:t>
      </w:r>
      <w:r w:rsidRPr="003277EE">
        <w:t xml:space="preserve"> года в </w:t>
      </w:r>
      <w:r w:rsidR="00BB7461" w:rsidRPr="003277EE">
        <w:t>действующих</w:t>
      </w:r>
      <w:r w:rsidRPr="003277EE">
        <w:t xml:space="preserve"> ценах на </w:t>
      </w:r>
      <w:r w:rsidR="003277EE" w:rsidRPr="003277EE">
        <w:t>3,27</w:t>
      </w:r>
      <w:r w:rsidRPr="003277EE">
        <w:t xml:space="preserve"> % и </w:t>
      </w:r>
      <w:r w:rsidR="00BB7461" w:rsidRPr="003277EE">
        <w:t>выше прогноза</w:t>
      </w:r>
      <w:r w:rsidRPr="003277EE">
        <w:t xml:space="preserve"> 201</w:t>
      </w:r>
      <w:r w:rsidR="00BB7461" w:rsidRPr="003277EE">
        <w:t>8</w:t>
      </w:r>
      <w:r w:rsidRPr="003277EE">
        <w:t xml:space="preserve"> года на </w:t>
      </w:r>
      <w:r w:rsidR="003277EE" w:rsidRPr="003277EE">
        <w:t>4,2</w:t>
      </w:r>
      <w:r w:rsidRPr="003277EE">
        <w:t xml:space="preserve"> %.</w:t>
      </w:r>
      <w:r w:rsidR="003277EE">
        <w:t xml:space="preserve"> </w:t>
      </w:r>
    </w:p>
    <w:p w:rsidR="00FE209E" w:rsidRPr="00F36CD2" w:rsidRDefault="00716038" w:rsidP="000305B7">
      <w:pPr>
        <w:autoSpaceDE w:val="0"/>
        <w:autoSpaceDN w:val="0"/>
        <w:adjustRightInd w:val="0"/>
        <w:ind w:firstLine="709"/>
        <w:jc w:val="both"/>
      </w:pPr>
      <w:r w:rsidRPr="00F36CD2">
        <w:t>В 20</w:t>
      </w:r>
      <w:r w:rsidR="003277EE" w:rsidRPr="00F36CD2">
        <w:t>20</w:t>
      </w:r>
      <w:r w:rsidRPr="00F36CD2">
        <w:t xml:space="preserve"> – 20</w:t>
      </w:r>
      <w:r w:rsidR="00D75FCE" w:rsidRPr="00F36CD2">
        <w:t>2</w:t>
      </w:r>
      <w:r w:rsidR="003277EE" w:rsidRPr="00F36CD2">
        <w:t>2</w:t>
      </w:r>
      <w:r w:rsidRPr="00F36CD2">
        <w:t xml:space="preserve"> годах также прогнозируется рост </w:t>
      </w:r>
      <w:r w:rsidR="003277EE" w:rsidRPr="00F36CD2">
        <w:t>валового</w:t>
      </w:r>
      <w:r w:rsidR="00F36CD2" w:rsidRPr="00F36CD2">
        <w:t xml:space="preserve"> производства сельского хозяйства</w:t>
      </w:r>
      <w:r w:rsidR="003277EE" w:rsidRPr="00F36CD2">
        <w:t xml:space="preserve"> </w:t>
      </w:r>
      <w:r w:rsidRPr="00F36CD2">
        <w:t>(20</w:t>
      </w:r>
      <w:r w:rsidR="00F36CD2" w:rsidRPr="00F36CD2">
        <w:t>20</w:t>
      </w:r>
      <w:r w:rsidRPr="00F36CD2">
        <w:t xml:space="preserve"> год – </w:t>
      </w:r>
      <w:r w:rsidR="00F36CD2" w:rsidRPr="00F36CD2">
        <w:t>1,93</w:t>
      </w:r>
      <w:r w:rsidRPr="00F36CD2">
        <w:t xml:space="preserve"> %, 20</w:t>
      </w:r>
      <w:r w:rsidR="00FE209E" w:rsidRPr="00F36CD2">
        <w:t>2</w:t>
      </w:r>
      <w:r w:rsidR="00F36CD2" w:rsidRPr="00F36CD2">
        <w:t>1</w:t>
      </w:r>
      <w:r w:rsidRPr="00F36CD2">
        <w:t xml:space="preserve"> год – </w:t>
      </w:r>
      <w:r w:rsidR="00FE209E" w:rsidRPr="00F36CD2">
        <w:t>0,3</w:t>
      </w:r>
      <w:r w:rsidR="00F36CD2" w:rsidRPr="00F36CD2">
        <w:t>5</w:t>
      </w:r>
      <w:r w:rsidRPr="00F36CD2">
        <w:t xml:space="preserve"> %, 20</w:t>
      </w:r>
      <w:r w:rsidR="00D75FCE" w:rsidRPr="00F36CD2">
        <w:t>2</w:t>
      </w:r>
      <w:r w:rsidR="00F36CD2" w:rsidRPr="00F36CD2">
        <w:t>2</w:t>
      </w:r>
      <w:r w:rsidRPr="00F36CD2">
        <w:t xml:space="preserve"> год – </w:t>
      </w:r>
      <w:r w:rsidR="00F36CD2" w:rsidRPr="00F36CD2">
        <w:t>0,55</w:t>
      </w:r>
      <w:r w:rsidRPr="00F36CD2">
        <w:t xml:space="preserve"> %). </w:t>
      </w:r>
    </w:p>
    <w:p w:rsidR="00716038" w:rsidRPr="00166DE7" w:rsidRDefault="00F23444" w:rsidP="000305B7">
      <w:pPr>
        <w:autoSpaceDE w:val="0"/>
        <w:autoSpaceDN w:val="0"/>
        <w:adjustRightInd w:val="0"/>
        <w:ind w:firstLine="709"/>
        <w:jc w:val="both"/>
      </w:pPr>
      <w:r w:rsidRPr="00166DE7">
        <w:t>К</w:t>
      </w:r>
      <w:r w:rsidR="00716038" w:rsidRPr="00166DE7">
        <w:t xml:space="preserve"> 20</w:t>
      </w:r>
      <w:r w:rsidR="00D75FCE" w:rsidRPr="00166DE7">
        <w:t>2</w:t>
      </w:r>
      <w:r w:rsidR="00166DE7" w:rsidRPr="00166DE7">
        <w:t>2</w:t>
      </w:r>
      <w:r w:rsidR="00716038" w:rsidRPr="00166DE7">
        <w:t xml:space="preserve"> году планируется, что валовая продукция сельского хозяйства достигнет </w:t>
      </w:r>
      <w:r w:rsidR="00166DE7" w:rsidRPr="00166DE7">
        <w:t>6985,84</w:t>
      </w:r>
      <w:r w:rsidR="00716038" w:rsidRPr="00166DE7">
        <w:t xml:space="preserve"> млн. рублей.</w:t>
      </w:r>
    </w:p>
    <w:p w:rsidR="00716038" w:rsidRPr="00166DE7" w:rsidRDefault="00716038" w:rsidP="000305B7">
      <w:pPr>
        <w:autoSpaceDE w:val="0"/>
        <w:autoSpaceDN w:val="0"/>
        <w:adjustRightInd w:val="0"/>
        <w:ind w:firstLine="709"/>
        <w:jc w:val="both"/>
      </w:pPr>
      <w:r w:rsidRPr="000C2EBF">
        <w:t xml:space="preserve">Достижение </w:t>
      </w:r>
      <w:r w:rsidR="00166DE7" w:rsidRPr="000C2EBF">
        <w:t xml:space="preserve">данных </w:t>
      </w:r>
      <w:r w:rsidRPr="000C2EBF">
        <w:t>показателей запланировано за счет мероприятий по поддержке сельскохозяйственных товаропроизводителей осуществляемых в рамках реализации федеральных и областных программ развития сельского хозяйства.</w:t>
      </w:r>
      <w:r w:rsidRPr="00166DE7">
        <w:t xml:space="preserve"> </w:t>
      </w:r>
    </w:p>
    <w:p w:rsidR="00D12FDD" w:rsidRPr="00932175" w:rsidRDefault="00D12FDD" w:rsidP="00D12FDD">
      <w:pPr>
        <w:pStyle w:val="a5"/>
        <w:numPr>
          <w:ilvl w:val="0"/>
          <w:numId w:val="9"/>
        </w:numPr>
        <w:tabs>
          <w:tab w:val="left" w:pos="993"/>
        </w:tabs>
        <w:spacing w:line="276" w:lineRule="auto"/>
        <w:ind w:left="0" w:firstLine="993"/>
        <w:jc w:val="both"/>
        <w:rPr>
          <w:sz w:val="28"/>
          <w:szCs w:val="28"/>
        </w:rPr>
      </w:pPr>
      <w:r w:rsidRPr="00932175">
        <w:rPr>
          <w:sz w:val="28"/>
          <w:szCs w:val="28"/>
        </w:rPr>
        <w:t>Приобретение сельскохозяйственной техники и оборудования на сумму более 150 млн. рублей.</w:t>
      </w:r>
    </w:p>
    <w:p w:rsidR="00D12FDD" w:rsidRPr="00932175" w:rsidRDefault="00D12FDD" w:rsidP="00D12FDD">
      <w:pPr>
        <w:pStyle w:val="a5"/>
        <w:numPr>
          <w:ilvl w:val="0"/>
          <w:numId w:val="9"/>
        </w:numPr>
        <w:tabs>
          <w:tab w:val="left" w:pos="993"/>
        </w:tabs>
        <w:spacing w:line="276" w:lineRule="auto"/>
        <w:ind w:left="0" w:firstLine="993"/>
        <w:jc w:val="both"/>
        <w:rPr>
          <w:sz w:val="28"/>
          <w:szCs w:val="28"/>
        </w:rPr>
      </w:pPr>
      <w:r w:rsidRPr="00932175">
        <w:rPr>
          <w:sz w:val="28"/>
          <w:szCs w:val="28"/>
        </w:rPr>
        <w:t>Функционирование на полную мощность убойного цеха в с.Батаевка и оказание населению услуг по забою скота.</w:t>
      </w:r>
    </w:p>
    <w:p w:rsidR="00D12FDD" w:rsidRPr="00932175" w:rsidRDefault="00D12FDD" w:rsidP="00D12FDD">
      <w:pPr>
        <w:pStyle w:val="a5"/>
        <w:numPr>
          <w:ilvl w:val="0"/>
          <w:numId w:val="9"/>
        </w:numPr>
        <w:tabs>
          <w:tab w:val="left" w:pos="993"/>
        </w:tabs>
        <w:spacing w:line="276" w:lineRule="auto"/>
        <w:ind w:left="0" w:firstLine="993"/>
        <w:jc w:val="both"/>
        <w:rPr>
          <w:sz w:val="28"/>
          <w:szCs w:val="28"/>
        </w:rPr>
      </w:pPr>
      <w:r w:rsidRPr="00932175">
        <w:rPr>
          <w:sz w:val="28"/>
          <w:szCs w:val="28"/>
        </w:rPr>
        <w:t>Строительство и газификация тепличного комплекса в с.Пологое-Займище.</w:t>
      </w:r>
    </w:p>
    <w:p w:rsidR="00D12FDD" w:rsidRPr="00932175" w:rsidRDefault="00D12FDD" w:rsidP="00D12FDD">
      <w:pPr>
        <w:pStyle w:val="a5"/>
        <w:numPr>
          <w:ilvl w:val="0"/>
          <w:numId w:val="9"/>
        </w:numPr>
        <w:tabs>
          <w:tab w:val="left" w:pos="993"/>
        </w:tabs>
        <w:spacing w:line="276" w:lineRule="auto"/>
        <w:ind w:left="0" w:firstLine="993"/>
        <w:jc w:val="both"/>
        <w:rPr>
          <w:sz w:val="28"/>
          <w:szCs w:val="28"/>
        </w:rPr>
      </w:pPr>
      <w:r w:rsidRPr="00932175">
        <w:rPr>
          <w:sz w:val="28"/>
          <w:szCs w:val="28"/>
        </w:rPr>
        <w:t>Участие сельхозтовар</w:t>
      </w:r>
      <w:r w:rsidR="00745075">
        <w:rPr>
          <w:sz w:val="28"/>
          <w:szCs w:val="28"/>
        </w:rPr>
        <w:t>о</w:t>
      </w:r>
      <w:r w:rsidRPr="00932175">
        <w:rPr>
          <w:sz w:val="28"/>
          <w:szCs w:val="28"/>
        </w:rPr>
        <w:t>производителей Ахтубинского района в реализации мероприятий по мелиорации земель сельскохозяйственного назначения на площади 500 га стоимостью  более 20 млн. рублей.</w:t>
      </w:r>
    </w:p>
    <w:p w:rsidR="00D12FDD" w:rsidRPr="00932175" w:rsidRDefault="00D12FDD" w:rsidP="00D12FDD">
      <w:pPr>
        <w:ind w:firstLine="993"/>
        <w:jc w:val="both"/>
      </w:pPr>
      <w:r w:rsidRPr="00932175">
        <w:t>5. Продолжение  участия в конкурсе в целях получения грантов на развитие семейных животноводческих ферм, организованных на базе крестьянских (фермерских) хозяйств Ахтубинского района и предоставления государственной поддержки  начинающим фермерам Ахтубинского района.</w:t>
      </w:r>
    </w:p>
    <w:p w:rsidR="00716038" w:rsidRPr="00166DE7" w:rsidRDefault="00716038" w:rsidP="000305B7">
      <w:pPr>
        <w:autoSpaceDE w:val="0"/>
        <w:autoSpaceDN w:val="0"/>
        <w:adjustRightInd w:val="0"/>
        <w:ind w:firstLine="709"/>
        <w:jc w:val="center"/>
        <w:outlineLvl w:val="0"/>
        <w:rPr>
          <w:b/>
        </w:rPr>
      </w:pPr>
      <w:r w:rsidRPr="00166DE7">
        <w:rPr>
          <w:b/>
        </w:rPr>
        <w:lastRenderedPageBreak/>
        <w:t>Строительство и инвестиции</w:t>
      </w:r>
    </w:p>
    <w:p w:rsidR="00716038" w:rsidRPr="00D85472" w:rsidRDefault="00716038" w:rsidP="000305B7">
      <w:pPr>
        <w:ind w:firstLine="709"/>
        <w:jc w:val="both"/>
      </w:pPr>
      <w:r w:rsidRPr="00D85472">
        <w:t>Объем выполненных строительных работ в 201</w:t>
      </w:r>
      <w:r w:rsidR="00D85472" w:rsidRPr="00D85472">
        <w:t>8</w:t>
      </w:r>
      <w:r w:rsidRPr="00D85472">
        <w:t xml:space="preserve"> году согласно данным Федеральной службы государственной статистики составил </w:t>
      </w:r>
      <w:r w:rsidR="00D85472" w:rsidRPr="00D85472">
        <w:t>726,88</w:t>
      </w:r>
      <w:r w:rsidRPr="00D85472">
        <w:t xml:space="preserve"> млн. руб., или </w:t>
      </w:r>
      <w:r w:rsidR="00D85472" w:rsidRPr="00D85472">
        <w:t>31,4</w:t>
      </w:r>
      <w:r w:rsidRPr="00D85472">
        <w:t xml:space="preserve"> % в сопоставимой оценке уровня 201</w:t>
      </w:r>
      <w:r w:rsidR="00D85472" w:rsidRPr="00D85472">
        <w:t>7</w:t>
      </w:r>
      <w:r w:rsidRPr="00D85472">
        <w:t xml:space="preserve"> года. </w:t>
      </w:r>
    </w:p>
    <w:p w:rsidR="004021AD" w:rsidRPr="00352F08" w:rsidRDefault="00716038" w:rsidP="004021AD">
      <w:pPr>
        <w:ind w:firstLine="709"/>
        <w:jc w:val="both"/>
      </w:pPr>
      <w:r w:rsidRPr="00D85472">
        <w:t>В 201</w:t>
      </w:r>
      <w:r w:rsidR="00D85472" w:rsidRPr="00D85472">
        <w:t>9</w:t>
      </w:r>
      <w:r w:rsidRPr="00D85472">
        <w:t xml:space="preserve"> году по оценке объем работ, выполненных по виду деятельности «строительство» составит</w:t>
      </w:r>
      <w:r w:rsidR="00BC3ED8" w:rsidRPr="00D85472">
        <w:t xml:space="preserve"> </w:t>
      </w:r>
      <w:r w:rsidR="00D85472" w:rsidRPr="00D85472">
        <w:t>783,68</w:t>
      </w:r>
      <w:r w:rsidRPr="00D85472">
        <w:t xml:space="preserve"> млн. рублей (прогноз </w:t>
      </w:r>
      <w:r w:rsidR="00D85472" w:rsidRPr="00D85472">
        <w:t>2582,55</w:t>
      </w:r>
      <w:r w:rsidRPr="00D85472">
        <w:t xml:space="preserve"> млн. руб.), это на </w:t>
      </w:r>
      <w:r w:rsidR="00D85472" w:rsidRPr="00D85472">
        <w:t>2,0</w:t>
      </w:r>
      <w:r w:rsidR="00BC3ED8" w:rsidRPr="00D85472">
        <w:t xml:space="preserve"> % </w:t>
      </w:r>
      <w:r w:rsidR="007F6F3F" w:rsidRPr="00D85472">
        <w:t>выше</w:t>
      </w:r>
      <w:r w:rsidR="00BC3ED8" w:rsidRPr="00D85472">
        <w:t xml:space="preserve"> </w:t>
      </w:r>
      <w:r w:rsidRPr="00D85472">
        <w:t>уровн</w:t>
      </w:r>
      <w:r w:rsidR="00BC3ED8" w:rsidRPr="00D85472">
        <w:t>я</w:t>
      </w:r>
      <w:r w:rsidRPr="00D85472">
        <w:t xml:space="preserve"> 201</w:t>
      </w:r>
      <w:r w:rsidR="00D85472" w:rsidRPr="00D85472">
        <w:t>8</w:t>
      </w:r>
      <w:r w:rsidRPr="00D85472">
        <w:t xml:space="preserve"> года и </w:t>
      </w:r>
      <w:r w:rsidR="00D85472" w:rsidRPr="00D85472">
        <w:t xml:space="preserve">ниже уровня прогноза </w:t>
      </w:r>
      <w:r w:rsidRPr="00D85472">
        <w:t xml:space="preserve">на </w:t>
      </w:r>
      <w:r w:rsidR="00D85472" w:rsidRPr="00D85472">
        <w:t>69,7</w:t>
      </w:r>
      <w:r w:rsidRPr="00D85472">
        <w:t xml:space="preserve"> %</w:t>
      </w:r>
      <w:r w:rsidR="00614592">
        <w:t>. Такая динамика связана с тем, что в</w:t>
      </w:r>
      <w:r w:rsidR="00614592" w:rsidRPr="004A30D1">
        <w:t xml:space="preserve"> 2018 году на территории района все жилье введено </w:t>
      </w:r>
      <w:r w:rsidR="00614592">
        <w:t xml:space="preserve">в основном </w:t>
      </w:r>
      <w:r w:rsidR="00614592" w:rsidRPr="004A30D1">
        <w:t>индивидуальными застройщиками</w:t>
      </w:r>
      <w:r w:rsidR="00614592">
        <w:t>, которые</w:t>
      </w:r>
      <w:r w:rsidR="00614592" w:rsidRPr="004A30D1">
        <w:t xml:space="preserve">  за счет собственных  и заемных средств постро</w:t>
      </w:r>
      <w:r w:rsidR="00614592">
        <w:t>или</w:t>
      </w:r>
      <w:r w:rsidR="00614592" w:rsidRPr="004A30D1">
        <w:t xml:space="preserve"> дом</w:t>
      </w:r>
      <w:r w:rsidR="00614592">
        <w:t>а,</w:t>
      </w:r>
      <w:r w:rsidR="00614592" w:rsidRPr="004A30D1">
        <w:t xml:space="preserve"> общей площадью 9362 кв.м., что составляет 67,7 % к уровню предыдущего года.</w:t>
      </w:r>
      <w:r w:rsidR="004021AD">
        <w:t xml:space="preserve"> </w:t>
      </w:r>
      <w:r w:rsidR="004021AD" w:rsidRPr="00352F08">
        <w:t xml:space="preserve">Общее количество введенной жилой площади в 2018 году относительно предыдущего года уменьшилось на 36,0% (по организациям всех форм собственности </w:t>
      </w:r>
      <w:r w:rsidR="004021AD">
        <w:t xml:space="preserve"> </w:t>
      </w:r>
      <w:r w:rsidR="004021AD" w:rsidRPr="00352F08">
        <w:t>и индивидуальным застройщикам).</w:t>
      </w:r>
    </w:p>
    <w:p w:rsidR="003F14C3" w:rsidRPr="004C735E" w:rsidRDefault="003F14C3" w:rsidP="003F14C3">
      <w:pPr>
        <w:ind w:firstLine="709"/>
        <w:jc w:val="both"/>
      </w:pPr>
      <w:r w:rsidRPr="004C735E">
        <w:t>В 20</w:t>
      </w:r>
      <w:r w:rsidR="00D85472" w:rsidRPr="004C735E">
        <w:t>20</w:t>
      </w:r>
      <w:r w:rsidRPr="004C735E">
        <w:t xml:space="preserve"> году – </w:t>
      </w:r>
      <w:r w:rsidR="004C735E" w:rsidRPr="004C735E">
        <w:t>842,49</w:t>
      </w:r>
      <w:r w:rsidRPr="004C735E">
        <w:t xml:space="preserve"> млн. руб. (темп роста 10</w:t>
      </w:r>
      <w:r w:rsidR="004C735E" w:rsidRPr="004C735E">
        <w:t>1,9</w:t>
      </w:r>
      <w:r w:rsidRPr="004C735E">
        <w:t>%), в 202</w:t>
      </w:r>
      <w:r w:rsidR="004C735E" w:rsidRPr="004C735E">
        <w:t>1</w:t>
      </w:r>
      <w:r w:rsidRPr="004C735E">
        <w:t xml:space="preserve"> –</w:t>
      </w:r>
      <w:r w:rsidR="004C735E" w:rsidRPr="004C735E">
        <w:t>907,52</w:t>
      </w:r>
      <w:r w:rsidRPr="004C735E">
        <w:t xml:space="preserve"> млн. руб. (темп роста 10</w:t>
      </w:r>
      <w:r w:rsidR="004C735E" w:rsidRPr="004C735E">
        <w:t>2</w:t>
      </w:r>
      <w:r w:rsidRPr="004C735E">
        <w:t>,</w:t>
      </w:r>
      <w:r w:rsidR="004C735E" w:rsidRPr="004C735E">
        <w:t>2</w:t>
      </w:r>
      <w:r w:rsidRPr="004C735E">
        <w:t>%), в 202</w:t>
      </w:r>
      <w:r w:rsidR="004C735E" w:rsidRPr="004C735E">
        <w:t>2</w:t>
      </w:r>
      <w:r w:rsidRPr="004C735E">
        <w:t xml:space="preserve"> – </w:t>
      </w:r>
      <w:r w:rsidR="004C735E" w:rsidRPr="004C735E">
        <w:t>975,74</w:t>
      </w:r>
      <w:r w:rsidRPr="004C735E">
        <w:t xml:space="preserve"> млн. руб. (темп роста 102,</w:t>
      </w:r>
      <w:r w:rsidR="004C735E" w:rsidRPr="004C735E">
        <w:t>3</w:t>
      </w:r>
      <w:r w:rsidRPr="004C735E">
        <w:t xml:space="preserve">%). </w:t>
      </w:r>
    </w:p>
    <w:p w:rsidR="003F14C3" w:rsidRPr="00614592" w:rsidRDefault="003F14C3" w:rsidP="003F14C3">
      <w:pPr>
        <w:ind w:firstLine="709"/>
        <w:jc w:val="both"/>
      </w:pPr>
      <w:r w:rsidRPr="00614592">
        <w:t>Объем инвестиций в основной капитал по крупным и средним предприятиям и организациям, зарегистрированным на территории Ахтубинского района в 201</w:t>
      </w:r>
      <w:r w:rsidR="00614592" w:rsidRPr="00614592">
        <w:t>8</w:t>
      </w:r>
      <w:r w:rsidRPr="00614592">
        <w:t xml:space="preserve"> году составил 1</w:t>
      </w:r>
      <w:r w:rsidR="00614592" w:rsidRPr="00614592">
        <w:t xml:space="preserve">176,17 </w:t>
      </w:r>
      <w:r w:rsidRPr="00614592">
        <w:t xml:space="preserve">млн. руб., или </w:t>
      </w:r>
      <w:r w:rsidR="00260068">
        <w:t>113,8</w:t>
      </w:r>
      <w:r w:rsidRPr="00614592">
        <w:t>% к аналогичному периоду 201</w:t>
      </w:r>
      <w:r w:rsidR="00614592" w:rsidRPr="00614592">
        <w:t>7</w:t>
      </w:r>
      <w:r w:rsidRPr="00614592">
        <w:t xml:space="preserve"> года (</w:t>
      </w:r>
      <w:r w:rsidR="00614592" w:rsidRPr="00614592">
        <w:t>1033,39</w:t>
      </w:r>
      <w:r w:rsidRPr="00614592">
        <w:t xml:space="preserve"> млн. руб.). </w:t>
      </w:r>
    </w:p>
    <w:p w:rsidR="003F14C3" w:rsidRPr="00C242FA" w:rsidRDefault="003F14C3" w:rsidP="003F14C3">
      <w:pPr>
        <w:pStyle w:val="Standard"/>
        <w:ind w:firstLine="709"/>
        <w:jc w:val="both"/>
        <w:rPr>
          <w:rFonts w:cs="Times New Roman"/>
          <w:sz w:val="28"/>
          <w:szCs w:val="28"/>
        </w:rPr>
      </w:pPr>
      <w:r w:rsidRPr="00C242FA">
        <w:rPr>
          <w:rFonts w:cs="Times New Roman"/>
          <w:sz w:val="28"/>
          <w:szCs w:val="28"/>
        </w:rPr>
        <w:t>Данные показатели за 201</w:t>
      </w:r>
      <w:r w:rsidR="00614592" w:rsidRPr="00C242FA">
        <w:rPr>
          <w:rFonts w:cs="Times New Roman"/>
          <w:sz w:val="28"/>
          <w:szCs w:val="28"/>
        </w:rPr>
        <w:t>8</w:t>
      </w:r>
      <w:r w:rsidRPr="00C242FA">
        <w:rPr>
          <w:rFonts w:cs="Times New Roman"/>
          <w:sz w:val="28"/>
          <w:szCs w:val="28"/>
        </w:rPr>
        <w:t xml:space="preserve"> год сложились от реализации основных инвестиционных проектов:</w:t>
      </w:r>
    </w:p>
    <w:p w:rsidR="00C242FA" w:rsidRPr="004A30D1" w:rsidRDefault="00C242FA" w:rsidP="00C242FA">
      <w:pPr>
        <w:ind w:firstLine="709"/>
        <w:jc w:val="both"/>
      </w:pPr>
      <w:r w:rsidRPr="004A30D1">
        <w:t>- техническое перевооружение мелиоративных систем участков площадью 220 га.</w:t>
      </w:r>
    </w:p>
    <w:p w:rsidR="00C242FA" w:rsidRPr="004A30D1" w:rsidRDefault="00C242FA" w:rsidP="00C242FA">
      <w:pPr>
        <w:shd w:val="clear" w:color="auto" w:fill="FFFFFF"/>
        <w:ind w:firstLine="709"/>
        <w:jc w:val="both"/>
      </w:pPr>
      <w:r w:rsidRPr="004A30D1">
        <w:t>- закончено строительство водопровода от станции 2-го подъема г. Знаменска до с. Капустин-Яр.</w:t>
      </w:r>
    </w:p>
    <w:p w:rsidR="00C242FA" w:rsidRPr="004A30D1" w:rsidRDefault="00C242FA" w:rsidP="00C242FA">
      <w:pPr>
        <w:ind w:firstLine="709"/>
        <w:jc w:val="both"/>
        <w:rPr>
          <w:b/>
        </w:rPr>
      </w:pPr>
      <w:r w:rsidRPr="004A30D1">
        <w:t>Расширили торговые площади  магазины «Магнит», «Пятерочка», магазин «От А до Я».</w:t>
      </w:r>
    </w:p>
    <w:p w:rsidR="003F14C3" w:rsidRPr="004021AD" w:rsidRDefault="003F14C3" w:rsidP="003F14C3">
      <w:pPr>
        <w:ind w:firstLine="709"/>
        <w:jc w:val="both"/>
      </w:pPr>
      <w:r w:rsidRPr="004021AD">
        <w:t>В 201</w:t>
      </w:r>
      <w:r w:rsidR="004021AD" w:rsidRPr="004021AD">
        <w:t>9</w:t>
      </w:r>
      <w:r w:rsidRPr="004021AD">
        <w:t xml:space="preserve"> году инвестиции ожидаются в объеме 1</w:t>
      </w:r>
      <w:r w:rsidR="004021AD">
        <w:t>361,01</w:t>
      </w:r>
      <w:r w:rsidRPr="004021AD">
        <w:t xml:space="preserve"> млн. руб., темп роста к 201</w:t>
      </w:r>
      <w:r w:rsidR="004021AD">
        <w:t>8</w:t>
      </w:r>
      <w:r w:rsidRPr="004021AD">
        <w:t xml:space="preserve"> году составит 1</w:t>
      </w:r>
      <w:r w:rsidR="004021AD">
        <w:t>10,1</w:t>
      </w:r>
      <w:r w:rsidRPr="004021AD">
        <w:t>%, в 20</w:t>
      </w:r>
      <w:r w:rsidR="004021AD">
        <w:t>20</w:t>
      </w:r>
      <w:r w:rsidRPr="004021AD">
        <w:t xml:space="preserve"> –</w:t>
      </w:r>
      <w:r w:rsidR="006B40D8">
        <w:t xml:space="preserve"> 1467,82</w:t>
      </w:r>
      <w:r w:rsidR="004021AD">
        <w:t xml:space="preserve"> </w:t>
      </w:r>
      <w:r w:rsidRPr="004021AD">
        <w:t>млн. руб. (темп роста 10</w:t>
      </w:r>
      <w:r w:rsidR="006B40D8">
        <w:t>3</w:t>
      </w:r>
      <w:r w:rsidRPr="004021AD">
        <w:t>,</w:t>
      </w:r>
      <w:r w:rsidR="006B40D8">
        <w:t>7</w:t>
      </w:r>
      <w:r w:rsidRPr="004021AD">
        <w:t>%), в 202</w:t>
      </w:r>
      <w:r w:rsidR="006B40D8">
        <w:t>1</w:t>
      </w:r>
      <w:r w:rsidRPr="004021AD">
        <w:t xml:space="preserve"> – </w:t>
      </w:r>
      <w:r w:rsidR="006B40D8">
        <w:t>1608,98</w:t>
      </w:r>
      <w:r w:rsidRPr="004021AD">
        <w:t xml:space="preserve"> млн. руб. (темп роста 10</w:t>
      </w:r>
      <w:r w:rsidR="006B40D8">
        <w:t>5</w:t>
      </w:r>
      <w:r w:rsidRPr="004021AD">
        <w:t>,</w:t>
      </w:r>
      <w:r w:rsidR="006B40D8">
        <w:t>3</w:t>
      </w:r>
      <w:r w:rsidRPr="004021AD">
        <w:t>%), в 202</w:t>
      </w:r>
      <w:r w:rsidR="006B40D8">
        <w:t>2</w:t>
      </w:r>
      <w:r w:rsidRPr="004021AD">
        <w:t xml:space="preserve"> – </w:t>
      </w:r>
      <w:r w:rsidR="006B40D8">
        <w:t>1710,13</w:t>
      </w:r>
      <w:r w:rsidRPr="004021AD">
        <w:t xml:space="preserve"> млн. руб. (темп роста 10</w:t>
      </w:r>
      <w:r w:rsidR="006B40D8">
        <w:t>2</w:t>
      </w:r>
      <w:r w:rsidRPr="004021AD">
        <w:t xml:space="preserve">,1%). </w:t>
      </w:r>
    </w:p>
    <w:p w:rsidR="003F14C3" w:rsidRPr="00C242FA" w:rsidRDefault="003F14C3" w:rsidP="003F14C3">
      <w:pPr>
        <w:pStyle w:val="Standard"/>
        <w:ind w:firstLine="709"/>
        <w:jc w:val="both"/>
        <w:rPr>
          <w:rFonts w:cs="Times New Roman"/>
          <w:color w:val="000000"/>
          <w:sz w:val="28"/>
          <w:szCs w:val="28"/>
        </w:rPr>
      </w:pPr>
      <w:r w:rsidRPr="00C242FA">
        <w:rPr>
          <w:rFonts w:cs="Times New Roman"/>
          <w:color w:val="000000"/>
          <w:sz w:val="28"/>
          <w:szCs w:val="28"/>
        </w:rPr>
        <w:t>На 20</w:t>
      </w:r>
      <w:r w:rsidR="00C242FA" w:rsidRPr="00C242FA">
        <w:rPr>
          <w:rFonts w:cs="Times New Roman"/>
          <w:color w:val="000000"/>
          <w:sz w:val="28"/>
          <w:szCs w:val="28"/>
        </w:rPr>
        <w:t>20</w:t>
      </w:r>
      <w:r w:rsidRPr="00C242FA">
        <w:rPr>
          <w:rFonts w:cs="Times New Roman"/>
          <w:color w:val="000000"/>
          <w:sz w:val="28"/>
          <w:szCs w:val="28"/>
        </w:rPr>
        <w:t xml:space="preserve"> - 202</w:t>
      </w:r>
      <w:r w:rsidR="006B40D8" w:rsidRPr="00C242FA">
        <w:rPr>
          <w:rFonts w:cs="Times New Roman"/>
          <w:color w:val="000000"/>
          <w:sz w:val="28"/>
          <w:szCs w:val="28"/>
        </w:rPr>
        <w:t>2</w:t>
      </w:r>
      <w:r w:rsidRPr="00C242FA">
        <w:rPr>
          <w:rFonts w:cs="Times New Roman"/>
          <w:color w:val="000000"/>
          <w:sz w:val="28"/>
          <w:szCs w:val="28"/>
        </w:rPr>
        <w:t xml:space="preserve"> годы определе</w:t>
      </w:r>
      <w:r w:rsidRPr="00C242FA">
        <w:rPr>
          <w:rFonts w:cs="Times New Roman"/>
          <w:sz w:val="28"/>
          <w:szCs w:val="28"/>
        </w:rPr>
        <w:t>ны основные направления развития района и инвестиционные проекты, которые необходимо реализовать. Наиболее крупные из них:</w:t>
      </w:r>
    </w:p>
    <w:p w:rsidR="006B40D8" w:rsidRPr="004A30D1" w:rsidRDefault="006B40D8" w:rsidP="006B40D8">
      <w:pPr>
        <w:pStyle w:val="a5"/>
        <w:numPr>
          <w:ilvl w:val="0"/>
          <w:numId w:val="11"/>
        </w:numPr>
        <w:suppressAutoHyphens/>
        <w:autoSpaceDN w:val="0"/>
        <w:ind w:left="0" w:firstLine="709"/>
        <w:contextualSpacing w:val="0"/>
        <w:jc w:val="both"/>
        <w:textAlignment w:val="baseline"/>
        <w:rPr>
          <w:sz w:val="28"/>
          <w:szCs w:val="28"/>
        </w:rPr>
      </w:pPr>
      <w:r w:rsidRPr="004A30D1">
        <w:rPr>
          <w:sz w:val="28"/>
          <w:szCs w:val="28"/>
        </w:rPr>
        <w:t>Запуск объекта «Ахтубинская солнечная электростанция» в с.Сокрутовка;</w:t>
      </w:r>
    </w:p>
    <w:p w:rsidR="006B40D8" w:rsidRPr="004A30D1" w:rsidRDefault="006B40D8" w:rsidP="006B40D8">
      <w:pPr>
        <w:pStyle w:val="a5"/>
        <w:numPr>
          <w:ilvl w:val="0"/>
          <w:numId w:val="10"/>
        </w:numPr>
        <w:suppressAutoHyphens/>
        <w:autoSpaceDN w:val="0"/>
        <w:ind w:left="0" w:firstLine="709"/>
        <w:contextualSpacing w:val="0"/>
        <w:jc w:val="both"/>
        <w:textAlignment w:val="baseline"/>
        <w:rPr>
          <w:sz w:val="28"/>
          <w:szCs w:val="28"/>
        </w:rPr>
      </w:pPr>
      <w:r w:rsidRPr="004A30D1">
        <w:rPr>
          <w:sz w:val="28"/>
          <w:szCs w:val="28"/>
        </w:rPr>
        <w:t>Строительство в с. Золотуха цеха производственного корпуса по предпродажной подготовке сельхозпродукции;</w:t>
      </w:r>
    </w:p>
    <w:p w:rsidR="006B40D8" w:rsidRPr="004A30D1" w:rsidRDefault="006B40D8" w:rsidP="006B40D8">
      <w:pPr>
        <w:pStyle w:val="a5"/>
        <w:numPr>
          <w:ilvl w:val="0"/>
          <w:numId w:val="10"/>
        </w:numPr>
        <w:suppressAutoHyphens/>
        <w:autoSpaceDN w:val="0"/>
        <w:ind w:left="0" w:firstLine="709"/>
        <w:contextualSpacing w:val="0"/>
        <w:jc w:val="both"/>
        <w:textAlignment w:val="baseline"/>
        <w:rPr>
          <w:sz w:val="28"/>
          <w:szCs w:val="28"/>
        </w:rPr>
      </w:pPr>
      <w:r w:rsidRPr="004A30D1">
        <w:rPr>
          <w:sz w:val="28"/>
          <w:szCs w:val="28"/>
        </w:rPr>
        <w:t xml:space="preserve">Строительство складских помещений ООО «Птицефабрика Владимировская» и их обустройство в с. Покровка. </w:t>
      </w:r>
    </w:p>
    <w:p w:rsidR="006B40D8" w:rsidRPr="004A30D1" w:rsidRDefault="006B40D8" w:rsidP="006B40D8">
      <w:pPr>
        <w:pStyle w:val="a5"/>
        <w:numPr>
          <w:ilvl w:val="0"/>
          <w:numId w:val="10"/>
        </w:numPr>
        <w:suppressAutoHyphens/>
        <w:autoSpaceDN w:val="0"/>
        <w:ind w:left="0" w:firstLine="709"/>
        <w:contextualSpacing w:val="0"/>
        <w:jc w:val="both"/>
        <w:textAlignment w:val="baseline"/>
        <w:rPr>
          <w:sz w:val="28"/>
          <w:szCs w:val="28"/>
        </w:rPr>
      </w:pPr>
      <w:r w:rsidRPr="004A30D1">
        <w:rPr>
          <w:sz w:val="28"/>
          <w:szCs w:val="28"/>
        </w:rPr>
        <w:t>Строительство ветровых мельниц</w:t>
      </w:r>
      <w:r w:rsidR="00C242FA">
        <w:rPr>
          <w:sz w:val="28"/>
          <w:szCs w:val="28"/>
        </w:rPr>
        <w:t>.</w:t>
      </w:r>
    </w:p>
    <w:p w:rsidR="006B40D8" w:rsidRPr="004A30D1" w:rsidRDefault="006B40D8" w:rsidP="006B40D8">
      <w:pPr>
        <w:pStyle w:val="a5"/>
        <w:numPr>
          <w:ilvl w:val="0"/>
          <w:numId w:val="10"/>
        </w:numPr>
        <w:suppressAutoHyphens/>
        <w:autoSpaceDN w:val="0"/>
        <w:ind w:left="0" w:firstLine="709"/>
        <w:contextualSpacing w:val="0"/>
        <w:jc w:val="both"/>
        <w:textAlignment w:val="baseline"/>
        <w:rPr>
          <w:sz w:val="28"/>
          <w:szCs w:val="28"/>
        </w:rPr>
      </w:pPr>
      <w:r w:rsidRPr="004A30D1">
        <w:rPr>
          <w:sz w:val="28"/>
          <w:szCs w:val="28"/>
          <w:lang w:bidi="ru-RU"/>
        </w:rPr>
        <w:t>Строительство газораспределительных сетей.</w:t>
      </w:r>
    </w:p>
    <w:p w:rsidR="006B40D8" w:rsidRPr="004A30D1" w:rsidRDefault="006B40D8" w:rsidP="006B40D8">
      <w:pPr>
        <w:pStyle w:val="Standard"/>
        <w:ind w:firstLine="709"/>
        <w:jc w:val="both"/>
        <w:rPr>
          <w:rFonts w:cs="Times New Roman"/>
          <w:sz w:val="28"/>
          <w:szCs w:val="28"/>
        </w:rPr>
      </w:pPr>
      <w:r w:rsidRPr="004A30D1">
        <w:rPr>
          <w:rFonts w:cs="Times New Roman"/>
          <w:sz w:val="28"/>
          <w:szCs w:val="28"/>
        </w:rPr>
        <w:t xml:space="preserve">Также продолжится модернизация ООО «Руссоль» и ЗАО </w:t>
      </w:r>
      <w:r w:rsidRPr="004A30D1">
        <w:rPr>
          <w:rFonts w:cs="Times New Roman"/>
          <w:sz w:val="28"/>
          <w:szCs w:val="28"/>
        </w:rPr>
        <w:lastRenderedPageBreak/>
        <w:t>«КнауфГипсБаскунчак»  и другие мероприятия, позволяющие наращивать объемы инвестиционных вложений на территории муниципального образования «Ахтубинский район».</w:t>
      </w:r>
    </w:p>
    <w:p w:rsidR="00C242FA" w:rsidRPr="00C242FA" w:rsidRDefault="00C242FA" w:rsidP="00C242FA">
      <w:pPr>
        <w:pStyle w:val="Standard"/>
        <w:ind w:firstLine="709"/>
        <w:jc w:val="both"/>
      </w:pPr>
      <w:r w:rsidRPr="00C242FA">
        <w:rPr>
          <w:rFonts w:cs="Times New Roman"/>
          <w:sz w:val="28"/>
          <w:szCs w:val="28"/>
        </w:rPr>
        <w:t>Реализация основных перечисленных и других мероприятий позволит ежегодно наращивать объемы инвестиционных вложений на территории муниципального образования «Ахтубинский район».</w:t>
      </w:r>
    </w:p>
    <w:p w:rsidR="000305B7" w:rsidRPr="00FA0520" w:rsidRDefault="000305B7" w:rsidP="000305B7">
      <w:pPr>
        <w:ind w:firstLine="709"/>
        <w:jc w:val="both"/>
        <w:rPr>
          <w:highlight w:val="yellow"/>
        </w:rPr>
      </w:pPr>
    </w:p>
    <w:p w:rsidR="00716038" w:rsidRPr="00745075" w:rsidRDefault="00716038" w:rsidP="000305B7">
      <w:pPr>
        <w:autoSpaceDE w:val="0"/>
        <w:autoSpaceDN w:val="0"/>
        <w:adjustRightInd w:val="0"/>
        <w:ind w:firstLine="709"/>
        <w:jc w:val="center"/>
        <w:outlineLvl w:val="0"/>
        <w:rPr>
          <w:b/>
        </w:rPr>
      </w:pPr>
      <w:r w:rsidRPr="00745075">
        <w:rPr>
          <w:b/>
        </w:rPr>
        <w:t>Потребительский рынок</w:t>
      </w:r>
    </w:p>
    <w:p w:rsidR="003637A3" w:rsidRPr="004A30D1" w:rsidRDefault="003637A3" w:rsidP="003637A3">
      <w:pPr>
        <w:ind w:firstLine="709"/>
        <w:jc w:val="both"/>
      </w:pPr>
      <w:r w:rsidRPr="004A30D1">
        <w:t>Важным сектором экономики Ахтубинского района является потребительский рынок, представляющий собой разветвленную сеть предприятий торговли, общественного питания и сферы услуг.</w:t>
      </w:r>
    </w:p>
    <w:p w:rsidR="003637A3" w:rsidRPr="004A30D1" w:rsidRDefault="003637A3" w:rsidP="003637A3">
      <w:pPr>
        <w:ind w:firstLine="709"/>
        <w:jc w:val="both"/>
      </w:pPr>
      <w:r w:rsidRPr="004A30D1">
        <w:t>Торговое обслуживание населения Ахтубинского района осуществляют 514 объектов стационарной розничной торговой сети, 1 сельскохозяйственный розничный рынок, 7 ярмарок и 49 предприятий общественного питания.</w:t>
      </w:r>
    </w:p>
    <w:p w:rsidR="003637A3" w:rsidRPr="004A30D1" w:rsidRDefault="003637A3" w:rsidP="003637A3">
      <w:pPr>
        <w:ind w:firstLine="709"/>
        <w:jc w:val="both"/>
      </w:pPr>
      <w:r w:rsidRPr="004A30D1">
        <w:t xml:space="preserve">Неуклонно расширяется ассортимент, повышается качество продукции и предоставляемых услуг. </w:t>
      </w:r>
    </w:p>
    <w:p w:rsidR="003637A3" w:rsidRPr="004A30D1" w:rsidRDefault="003637A3" w:rsidP="003637A3">
      <w:pPr>
        <w:ind w:firstLine="709"/>
        <w:jc w:val="both"/>
      </w:pPr>
      <w:r w:rsidRPr="004A30D1">
        <w:t xml:space="preserve">В 2018 году </w:t>
      </w:r>
      <w:r w:rsidRPr="004A30D1">
        <w:rPr>
          <w:bCs/>
        </w:rPr>
        <w:t>оборот розничной торговли</w:t>
      </w:r>
      <w:r w:rsidRPr="004A30D1">
        <w:t xml:space="preserve"> </w:t>
      </w:r>
      <w:r w:rsidR="00BE2108">
        <w:t>(по крупным, средним и малым (</w:t>
      </w:r>
      <w:r w:rsidR="009A6FE8">
        <w:t>включая микропредприятия</w:t>
      </w:r>
      <w:r w:rsidR="00BE2108">
        <w:t>)</w:t>
      </w:r>
      <w:r w:rsidR="009A6FE8">
        <w:t xml:space="preserve"> организациям</w:t>
      </w:r>
      <w:r w:rsidR="00BE2108">
        <w:t>)</w:t>
      </w:r>
      <w:r w:rsidR="009A6FE8">
        <w:t xml:space="preserve"> </w:t>
      </w:r>
      <w:r w:rsidRPr="004A30D1">
        <w:t>сложился в сумме 3049,2 млн. рублей и увеличился в товарной массе к</w:t>
      </w:r>
      <w:r>
        <w:t xml:space="preserve"> уровню предыдущего года на 39,5%.</w:t>
      </w:r>
    </w:p>
    <w:p w:rsidR="00716038" w:rsidRPr="00F575F4" w:rsidRDefault="00716038" w:rsidP="000305B7">
      <w:pPr>
        <w:autoSpaceDE w:val="0"/>
        <w:autoSpaceDN w:val="0"/>
        <w:adjustRightInd w:val="0"/>
        <w:ind w:firstLine="709"/>
        <w:jc w:val="both"/>
      </w:pPr>
      <w:r w:rsidRPr="00F575F4">
        <w:t>Оборот розничной торговли в 201</w:t>
      </w:r>
      <w:r w:rsidR="003637A3" w:rsidRPr="00F575F4">
        <w:t>9</w:t>
      </w:r>
      <w:r w:rsidR="004A241C" w:rsidRPr="00F575F4">
        <w:t xml:space="preserve"> </w:t>
      </w:r>
      <w:r w:rsidRPr="00F575F4">
        <w:t>году по оценке составит</w:t>
      </w:r>
      <w:r w:rsidR="004A241C" w:rsidRPr="00F575F4">
        <w:t xml:space="preserve"> </w:t>
      </w:r>
      <w:r w:rsidR="003637A3" w:rsidRPr="00F575F4">
        <w:t>3210,97</w:t>
      </w:r>
      <w:r w:rsidRPr="00F575F4">
        <w:t xml:space="preserve"> млн. рублей</w:t>
      </w:r>
      <w:r w:rsidR="009A6FE8">
        <w:t xml:space="preserve">. </w:t>
      </w:r>
      <w:r w:rsidRPr="00F575F4">
        <w:t>В прогнозируемом периоде оборот розничной торговли незначительно будет расти, и достигнет в 20</w:t>
      </w:r>
      <w:r w:rsidR="003A7F77" w:rsidRPr="00F575F4">
        <w:t>2</w:t>
      </w:r>
      <w:r w:rsidR="00F575F4" w:rsidRPr="00F575F4">
        <w:t>2</w:t>
      </w:r>
      <w:r w:rsidRPr="00F575F4">
        <w:t xml:space="preserve"> году </w:t>
      </w:r>
      <w:r w:rsidR="00F575F4" w:rsidRPr="00F575F4">
        <w:t>3656,07</w:t>
      </w:r>
      <w:r w:rsidRPr="00F575F4">
        <w:t xml:space="preserve"> млн. руб.</w:t>
      </w:r>
    </w:p>
    <w:p w:rsidR="00716038" w:rsidRPr="00AF58E2" w:rsidRDefault="00716038" w:rsidP="000305B7">
      <w:pPr>
        <w:ind w:firstLine="720"/>
        <w:jc w:val="both"/>
      </w:pPr>
      <w:r w:rsidRPr="00AF58E2">
        <w:t>В среднесрочном периоде ожидается восстановление потребительского спроса на товары и услуги в результате роста реальных доходов и снижения инфляции.</w:t>
      </w:r>
    </w:p>
    <w:p w:rsidR="00716038" w:rsidRPr="00293E7A" w:rsidRDefault="00716038" w:rsidP="000305B7">
      <w:pPr>
        <w:ind w:firstLine="720"/>
        <w:jc w:val="both"/>
      </w:pPr>
      <w:r w:rsidRPr="00293E7A">
        <w:t xml:space="preserve">Оборот общественного питания </w:t>
      </w:r>
      <w:r w:rsidR="00293E7A">
        <w:t xml:space="preserve">(по крупным, средним и малым (включая микропредприятия) организациям) </w:t>
      </w:r>
      <w:r w:rsidRPr="00293E7A">
        <w:t>за 201</w:t>
      </w:r>
      <w:r w:rsidR="00AF58E2" w:rsidRPr="00293E7A">
        <w:t>8</w:t>
      </w:r>
      <w:r w:rsidRPr="00293E7A">
        <w:t xml:space="preserve"> год составил </w:t>
      </w:r>
      <w:r w:rsidR="009A6FE8" w:rsidRPr="00293E7A">
        <w:t>130,6</w:t>
      </w:r>
      <w:r w:rsidRPr="00293E7A">
        <w:t xml:space="preserve"> млн. руб. или </w:t>
      </w:r>
      <w:r w:rsidR="00F235A3" w:rsidRPr="00293E7A">
        <w:t>1</w:t>
      </w:r>
      <w:r w:rsidR="009A6FE8" w:rsidRPr="00293E7A">
        <w:t>13</w:t>
      </w:r>
      <w:r w:rsidR="00F235A3" w:rsidRPr="00293E7A">
        <w:t>,</w:t>
      </w:r>
      <w:r w:rsidR="003D5DDA" w:rsidRPr="00293E7A">
        <w:t>0</w:t>
      </w:r>
      <w:r w:rsidRPr="00293E7A">
        <w:t xml:space="preserve"> % к факту 201</w:t>
      </w:r>
      <w:r w:rsidR="009A6FE8" w:rsidRPr="00293E7A">
        <w:t>7</w:t>
      </w:r>
      <w:r w:rsidRPr="00293E7A">
        <w:t xml:space="preserve"> год</w:t>
      </w:r>
      <w:r w:rsidR="00421D6A" w:rsidRPr="00293E7A">
        <w:t>а</w:t>
      </w:r>
      <w:r w:rsidRPr="00293E7A">
        <w:t xml:space="preserve">. К </w:t>
      </w:r>
      <w:r w:rsidR="00542343" w:rsidRPr="00293E7A">
        <w:t>оценке</w:t>
      </w:r>
      <w:r w:rsidRPr="00293E7A">
        <w:t xml:space="preserve"> 201</w:t>
      </w:r>
      <w:r w:rsidR="00293E7A" w:rsidRPr="00293E7A">
        <w:t>8</w:t>
      </w:r>
      <w:r w:rsidRPr="00293E7A">
        <w:t xml:space="preserve"> года выполнение </w:t>
      </w:r>
      <w:r w:rsidR="00293E7A" w:rsidRPr="00293E7A">
        <w:t xml:space="preserve">плана </w:t>
      </w:r>
      <w:r w:rsidRPr="00293E7A">
        <w:t xml:space="preserve">составило </w:t>
      </w:r>
      <w:r w:rsidR="00293E7A" w:rsidRPr="00293E7A">
        <w:t>112,7</w:t>
      </w:r>
      <w:r w:rsidRPr="00293E7A">
        <w:t xml:space="preserve"> %.</w:t>
      </w:r>
    </w:p>
    <w:p w:rsidR="00716038" w:rsidRPr="00293E7A" w:rsidRDefault="00716038" w:rsidP="000305B7">
      <w:pPr>
        <w:ind w:firstLine="720"/>
        <w:jc w:val="both"/>
      </w:pPr>
      <w:r w:rsidRPr="00293E7A">
        <w:t>В 201</w:t>
      </w:r>
      <w:r w:rsidR="00293E7A" w:rsidRPr="00293E7A">
        <w:t>9</w:t>
      </w:r>
      <w:r w:rsidRPr="00293E7A">
        <w:t xml:space="preserve"> году по оценке оборот общественного питания </w:t>
      </w:r>
      <w:r w:rsidR="00293E7A" w:rsidRPr="00293E7A">
        <w:t xml:space="preserve">(по крупным, средним и малым (включая микропредприятия) организациям) </w:t>
      </w:r>
      <w:r w:rsidRPr="00293E7A">
        <w:t xml:space="preserve">составит </w:t>
      </w:r>
      <w:r w:rsidR="00293E7A" w:rsidRPr="00293E7A">
        <w:t>139,59</w:t>
      </w:r>
      <w:r w:rsidRPr="00293E7A">
        <w:t xml:space="preserve"> млн. руб. (прогноз </w:t>
      </w:r>
      <w:r w:rsidR="00293E7A" w:rsidRPr="00293E7A">
        <w:t xml:space="preserve">123,16 </w:t>
      </w:r>
      <w:r w:rsidRPr="00293E7A">
        <w:t xml:space="preserve">млн. руб.), что </w:t>
      </w:r>
      <w:r w:rsidR="00F235A3" w:rsidRPr="00293E7A">
        <w:t>выше</w:t>
      </w:r>
      <w:r w:rsidRPr="00293E7A">
        <w:t xml:space="preserve"> факта 201</w:t>
      </w:r>
      <w:r w:rsidR="00293E7A" w:rsidRPr="00293E7A">
        <w:t>8</w:t>
      </w:r>
      <w:r w:rsidRPr="00293E7A">
        <w:t xml:space="preserve"> года на </w:t>
      </w:r>
      <w:r w:rsidR="00293E7A" w:rsidRPr="00293E7A">
        <w:t>6,9</w:t>
      </w:r>
      <w:r w:rsidRPr="00293E7A">
        <w:t xml:space="preserve"> % и </w:t>
      </w:r>
      <w:r w:rsidR="00F235A3" w:rsidRPr="00293E7A">
        <w:t>выше</w:t>
      </w:r>
      <w:r w:rsidRPr="00293E7A">
        <w:t xml:space="preserve"> прогноза</w:t>
      </w:r>
      <w:r w:rsidR="009A1419" w:rsidRPr="00293E7A">
        <w:t xml:space="preserve"> на</w:t>
      </w:r>
      <w:r w:rsidRPr="00293E7A">
        <w:t xml:space="preserve"> </w:t>
      </w:r>
      <w:r w:rsidR="00293E7A" w:rsidRPr="00293E7A">
        <w:t>13,3</w:t>
      </w:r>
      <w:r w:rsidRPr="00293E7A">
        <w:t xml:space="preserve"> %.</w:t>
      </w:r>
      <w:r w:rsidR="00D0384B">
        <w:t xml:space="preserve"> </w:t>
      </w:r>
      <w:r w:rsidR="005E2F3A">
        <w:t xml:space="preserve">Данная динамика – это </w:t>
      </w:r>
      <w:r w:rsidR="005E2F3A" w:rsidRPr="005E2F3A">
        <w:t>р</w:t>
      </w:r>
      <w:r w:rsidR="00D0384B" w:rsidRPr="005E2F3A">
        <w:t>езультат стабильной работы пре</w:t>
      </w:r>
      <w:r w:rsidR="005E2F3A">
        <w:t xml:space="preserve">дприятий общественного питания </w:t>
      </w:r>
      <w:r w:rsidR="00D0384B" w:rsidRPr="005E2F3A">
        <w:t xml:space="preserve"> ООО «Фаворит», кафе «Гранд Статус».</w:t>
      </w:r>
    </w:p>
    <w:p w:rsidR="00716038" w:rsidRPr="00293E7A" w:rsidRDefault="00716038" w:rsidP="000305B7">
      <w:pPr>
        <w:ind w:firstLine="720"/>
        <w:jc w:val="both"/>
      </w:pPr>
      <w:r w:rsidRPr="00293E7A">
        <w:t>В прогнозируемом периоде планируется постепенный рост оборота общественного питания и в 20</w:t>
      </w:r>
      <w:r w:rsidR="009A1419" w:rsidRPr="00293E7A">
        <w:t>2</w:t>
      </w:r>
      <w:r w:rsidR="00293E7A">
        <w:t>2</w:t>
      </w:r>
      <w:r w:rsidRPr="00293E7A">
        <w:t xml:space="preserve"> году </w:t>
      </w:r>
      <w:r w:rsidR="00CB3383" w:rsidRPr="00293E7A">
        <w:t xml:space="preserve">он </w:t>
      </w:r>
      <w:r w:rsidRPr="00293E7A">
        <w:t xml:space="preserve">достигнет </w:t>
      </w:r>
      <w:r w:rsidR="00CB3383" w:rsidRPr="00293E7A">
        <w:t>1</w:t>
      </w:r>
      <w:r w:rsidR="00293E7A">
        <w:t>64,86</w:t>
      </w:r>
      <w:r w:rsidRPr="00293E7A">
        <w:t xml:space="preserve"> млн. рублей. </w:t>
      </w:r>
    </w:p>
    <w:p w:rsidR="00716038" w:rsidRPr="00FF51CE" w:rsidRDefault="00716038" w:rsidP="000305B7">
      <w:pPr>
        <w:ind w:firstLine="720"/>
        <w:jc w:val="both"/>
      </w:pPr>
      <w:r w:rsidRPr="00FF51CE">
        <w:t>В сфере общественного питания также ожидается восстановление объемов оборота, как за счет увеличения количества посещений точек общественного питания, так и в связи с прогнозируемым ростом туристического потока.</w:t>
      </w:r>
    </w:p>
    <w:p w:rsidR="00AD4BBD" w:rsidRPr="00447EA0" w:rsidRDefault="00AD4BBD" w:rsidP="000305B7">
      <w:pPr>
        <w:ind w:firstLine="720"/>
        <w:jc w:val="both"/>
      </w:pPr>
      <w:r w:rsidRPr="00A41F08">
        <w:t>Основное влияние на формирование реального объема платных услуг в районе оказывают услуги «обязательного» характера: транспортные, услуги связи, жилищные и коммунальные. Совокупная доля этих видов услуг в 201</w:t>
      </w:r>
      <w:r w:rsidR="00A41F08">
        <w:t>8</w:t>
      </w:r>
      <w:r w:rsidRPr="00A41F08">
        <w:t xml:space="preserve"> году </w:t>
      </w:r>
      <w:r w:rsidR="00A41F08">
        <w:t>остается на уровне 2017 года в размере</w:t>
      </w:r>
      <w:r w:rsidRPr="00A41F08">
        <w:t xml:space="preserve"> 80% </w:t>
      </w:r>
      <w:r w:rsidR="00A41F08">
        <w:t xml:space="preserve">от </w:t>
      </w:r>
      <w:r w:rsidRPr="00A41F08">
        <w:t xml:space="preserve">общего объема </w:t>
      </w:r>
      <w:r w:rsidRPr="00A41F08">
        <w:lastRenderedPageBreak/>
        <w:t>потребляемых услуг.</w:t>
      </w:r>
      <w:r w:rsidR="00736880" w:rsidRPr="00A41F08">
        <w:t xml:space="preserve"> Степень удовлетворения потребностей населения в услугах является одним из индикаторов уровня жизни. Уровень развития здравоохранения,</w:t>
      </w:r>
      <w:r w:rsidR="00736880" w:rsidRPr="00447EA0">
        <w:t xml:space="preserve"> образования, бытового обслуживания, состояние жилищно-коммунального комплекса, транспортной системы определяют качество жизни населения.</w:t>
      </w:r>
    </w:p>
    <w:p w:rsidR="00030794" w:rsidRDefault="00716038" w:rsidP="000305B7">
      <w:pPr>
        <w:ind w:firstLine="720"/>
        <w:jc w:val="both"/>
      </w:pPr>
      <w:r w:rsidRPr="00AD3551">
        <w:t>Объем платных услуг населению в 201</w:t>
      </w:r>
      <w:r w:rsidR="00FF51CE" w:rsidRPr="00AD3551">
        <w:t>8</w:t>
      </w:r>
      <w:r w:rsidRPr="00AD3551">
        <w:t xml:space="preserve"> оказан на сумму </w:t>
      </w:r>
      <w:r w:rsidR="00FF51CE" w:rsidRPr="00AD3551">
        <w:t>840,7</w:t>
      </w:r>
      <w:r w:rsidRPr="00AD3551">
        <w:t xml:space="preserve"> млн. рублей или </w:t>
      </w:r>
      <w:r w:rsidR="009B58AA" w:rsidRPr="00AD3551">
        <w:t>1</w:t>
      </w:r>
      <w:r w:rsidR="00FF51CE" w:rsidRPr="00AD3551">
        <w:t>04,8</w:t>
      </w:r>
      <w:r w:rsidRPr="00AD3551">
        <w:t xml:space="preserve"> % к факту 201</w:t>
      </w:r>
      <w:r w:rsidR="00FF51CE" w:rsidRPr="00AD3551">
        <w:t>7</w:t>
      </w:r>
      <w:r w:rsidRPr="00AD3551">
        <w:t xml:space="preserve"> года. </w:t>
      </w:r>
    </w:p>
    <w:p w:rsidR="00677FA1" w:rsidRPr="00AD3551" w:rsidRDefault="00357A8A" w:rsidP="000305B7">
      <w:pPr>
        <w:ind w:firstLine="720"/>
        <w:jc w:val="both"/>
      </w:pPr>
      <w:r w:rsidRPr="00AD3551">
        <w:t>В 201</w:t>
      </w:r>
      <w:r w:rsidR="00FF51CE" w:rsidRPr="00AD3551">
        <w:t>9</w:t>
      </w:r>
      <w:r w:rsidRPr="00AD3551">
        <w:t xml:space="preserve"> году по оценке объем платных услуг составит 86</w:t>
      </w:r>
      <w:r w:rsidR="00FF51CE" w:rsidRPr="00AD3551">
        <w:t>9</w:t>
      </w:r>
      <w:r w:rsidRPr="00AD3551">
        <w:t>,</w:t>
      </w:r>
      <w:r w:rsidR="00FF51CE" w:rsidRPr="00AD3551">
        <w:t>7</w:t>
      </w:r>
      <w:r w:rsidRPr="00AD3551">
        <w:t xml:space="preserve"> млн. руб. (прогноз </w:t>
      </w:r>
      <w:r w:rsidR="00FF51CE" w:rsidRPr="00AD3551">
        <w:t>881,88</w:t>
      </w:r>
      <w:r w:rsidRPr="00AD3551">
        <w:t xml:space="preserve"> млн. руб.), что выше факта 201</w:t>
      </w:r>
      <w:r w:rsidR="00FF51CE" w:rsidRPr="00AD3551">
        <w:t>8</w:t>
      </w:r>
      <w:r w:rsidRPr="00AD3551">
        <w:t xml:space="preserve"> года на 3,</w:t>
      </w:r>
      <w:r w:rsidR="00AD3551" w:rsidRPr="00AD3551">
        <w:t>4</w:t>
      </w:r>
      <w:r w:rsidRPr="00AD3551">
        <w:t xml:space="preserve"> % и </w:t>
      </w:r>
      <w:r w:rsidR="00AD3551" w:rsidRPr="00AD3551">
        <w:t>ниже</w:t>
      </w:r>
      <w:r w:rsidRPr="00AD3551">
        <w:t xml:space="preserve"> уровня прогноза на </w:t>
      </w:r>
      <w:r w:rsidR="00AD3551" w:rsidRPr="00AD3551">
        <w:t>1,4</w:t>
      </w:r>
      <w:r w:rsidRPr="00AD3551">
        <w:t xml:space="preserve"> %.</w:t>
      </w:r>
    </w:p>
    <w:p w:rsidR="00357A8A" w:rsidRPr="00AD3551" w:rsidRDefault="00716038" w:rsidP="00357A8A">
      <w:pPr>
        <w:ind w:firstLine="720"/>
        <w:jc w:val="both"/>
      </w:pPr>
      <w:r w:rsidRPr="00AD3551">
        <w:t>В прогнозируемом периоде планируется постепенный рост объема платных услуг населению и в 20</w:t>
      </w:r>
      <w:r w:rsidR="000F5AA4" w:rsidRPr="00AD3551">
        <w:t>2</w:t>
      </w:r>
      <w:r w:rsidR="00AD3551" w:rsidRPr="00AD3551">
        <w:t>2</w:t>
      </w:r>
      <w:r w:rsidRPr="00AD3551">
        <w:t xml:space="preserve"> году достигнет </w:t>
      </w:r>
      <w:r w:rsidR="005F2BB2" w:rsidRPr="00AD3551">
        <w:t>9</w:t>
      </w:r>
      <w:r w:rsidR="00AD3551" w:rsidRPr="00AD3551">
        <w:t>80,79</w:t>
      </w:r>
      <w:r w:rsidRPr="00AD3551">
        <w:t xml:space="preserve"> млн. рублей. </w:t>
      </w:r>
    </w:p>
    <w:p w:rsidR="00357A8A" w:rsidRPr="00AD3551" w:rsidRDefault="00357A8A" w:rsidP="00357A8A">
      <w:pPr>
        <w:ind w:firstLine="720"/>
        <w:jc w:val="both"/>
      </w:pPr>
      <w:r w:rsidRPr="00AD3551">
        <w:t>Рост показателя «Объем платных услуг населению» - результат  повышения стоимости на жилищно-коммунальные услуги.</w:t>
      </w:r>
    </w:p>
    <w:p w:rsidR="00716038" w:rsidRPr="00AD3551" w:rsidRDefault="00736880" w:rsidP="000305B7">
      <w:pPr>
        <w:ind w:firstLine="720"/>
        <w:jc w:val="both"/>
      </w:pPr>
      <w:r w:rsidRPr="00AD3551">
        <w:t>Возможности развития сферы платных услуг обусловлены состоянием экономического потенциала, реальных денежных доходов населения, темпами инфляции.</w:t>
      </w:r>
    </w:p>
    <w:p w:rsidR="00716038" w:rsidRPr="00A41F08" w:rsidRDefault="00736880" w:rsidP="000305B7">
      <w:pPr>
        <w:ind w:firstLine="720"/>
        <w:jc w:val="both"/>
      </w:pPr>
      <w:r w:rsidRPr="00A41F08">
        <w:t>Видовая структура платных услуг не претерпит существенных изменений. Доля услуг «обязательного» характера будет составлять большую часть общего объема платных услуг населению.</w:t>
      </w:r>
    </w:p>
    <w:p w:rsidR="00D35F24" w:rsidRPr="00FA0520" w:rsidRDefault="00D35F24" w:rsidP="000305B7">
      <w:pPr>
        <w:ind w:firstLine="720"/>
        <w:jc w:val="both"/>
        <w:rPr>
          <w:highlight w:val="yellow"/>
        </w:rPr>
      </w:pPr>
    </w:p>
    <w:p w:rsidR="00D35F24" w:rsidRPr="00A41F08" w:rsidRDefault="00D35F24" w:rsidP="00D35F24">
      <w:pPr>
        <w:ind w:firstLine="720"/>
        <w:jc w:val="center"/>
        <w:rPr>
          <w:b/>
        </w:rPr>
      </w:pPr>
      <w:r w:rsidRPr="00A41F08">
        <w:rPr>
          <w:b/>
        </w:rPr>
        <w:t>Малое предпринимательство</w:t>
      </w:r>
    </w:p>
    <w:p w:rsidR="00D35F24" w:rsidRPr="00A41F08" w:rsidRDefault="00D35F24" w:rsidP="00D35F24">
      <w:pPr>
        <w:ind w:firstLine="720"/>
        <w:jc w:val="both"/>
        <w:rPr>
          <w:spacing w:val="2"/>
        </w:rPr>
      </w:pPr>
      <w:r w:rsidRPr="00A41F08">
        <w:rPr>
          <w:spacing w:val="2"/>
        </w:rPr>
        <w:t>Развитие малого предпринимательства относится к наиболее значимым направлениям в решении проблем социально-экономического развития, в том числе снижения уровня безработицы, насыщения рынка товаров и услуг, развития конкуренции.</w:t>
      </w:r>
    </w:p>
    <w:p w:rsidR="00404A35" w:rsidRPr="00354587" w:rsidRDefault="00404A35" w:rsidP="00404A35">
      <w:pPr>
        <w:shd w:val="clear" w:color="auto" w:fill="FFFFFF"/>
        <w:ind w:firstLine="709"/>
        <w:jc w:val="both"/>
      </w:pPr>
      <w:r w:rsidRPr="00354587">
        <w:t>Основными показателям деятельности, характеризующими сферу малого предпринимательства являются:</w:t>
      </w:r>
    </w:p>
    <w:p w:rsidR="00404A35" w:rsidRPr="00354587" w:rsidRDefault="00404A35" w:rsidP="00404A35">
      <w:pPr>
        <w:pStyle w:val="ConsPlusNormal"/>
        <w:ind w:firstLine="0"/>
        <w:jc w:val="both"/>
        <w:rPr>
          <w:rFonts w:ascii="Times New Roman" w:hAnsi="Times New Roman" w:cs="Times New Roman"/>
          <w:sz w:val="28"/>
          <w:szCs w:val="28"/>
        </w:rPr>
      </w:pPr>
      <w:r w:rsidRPr="00354587">
        <w:rPr>
          <w:rFonts w:ascii="Times New Roman" w:hAnsi="Times New Roman" w:cs="Times New Roman"/>
          <w:sz w:val="28"/>
          <w:szCs w:val="28"/>
        </w:rPr>
        <w:t>- количество малых предприятий, включая микропредприятия (на конец года);</w:t>
      </w:r>
    </w:p>
    <w:p w:rsidR="00404A35" w:rsidRPr="00354587" w:rsidRDefault="00404A35" w:rsidP="00404A35">
      <w:pPr>
        <w:pStyle w:val="ConsPlusNormal"/>
        <w:ind w:firstLine="0"/>
        <w:jc w:val="both"/>
        <w:rPr>
          <w:rFonts w:ascii="Times New Roman" w:hAnsi="Times New Roman" w:cs="Times New Roman"/>
          <w:sz w:val="28"/>
          <w:szCs w:val="28"/>
        </w:rPr>
      </w:pPr>
      <w:r w:rsidRPr="00354587">
        <w:rPr>
          <w:rFonts w:ascii="Times New Roman" w:hAnsi="Times New Roman" w:cs="Times New Roman"/>
          <w:sz w:val="28"/>
          <w:szCs w:val="28"/>
        </w:rPr>
        <w:t>- среднесписочная численность работников малых предприятий, включая микропредприятия (без внешних совместителей);</w:t>
      </w:r>
    </w:p>
    <w:p w:rsidR="00404A35" w:rsidRPr="00354587" w:rsidRDefault="00404A35" w:rsidP="00404A35">
      <w:pPr>
        <w:pStyle w:val="ConsPlusNormal"/>
        <w:ind w:firstLine="0"/>
        <w:jc w:val="both"/>
        <w:rPr>
          <w:rFonts w:ascii="Times New Roman" w:hAnsi="Times New Roman" w:cs="Times New Roman"/>
          <w:sz w:val="28"/>
          <w:szCs w:val="28"/>
        </w:rPr>
      </w:pPr>
      <w:r w:rsidRPr="00354587">
        <w:rPr>
          <w:rFonts w:ascii="Times New Roman" w:hAnsi="Times New Roman" w:cs="Times New Roman"/>
          <w:sz w:val="28"/>
          <w:szCs w:val="28"/>
        </w:rPr>
        <w:t>- оборот малых предприятий, включая микропредприятия.</w:t>
      </w:r>
    </w:p>
    <w:p w:rsidR="00D35F24" w:rsidRDefault="00354587" w:rsidP="00D35F24">
      <w:pPr>
        <w:ind w:firstLine="709"/>
        <w:jc w:val="both"/>
      </w:pPr>
      <w:r w:rsidRPr="00354587">
        <w:t xml:space="preserve">Количество малых предприятий, включая микропредприятия на конец 2018 года составило 250 единиц, что ниже уровня 2017 года на 11,3%. </w:t>
      </w:r>
      <w:r w:rsidR="00CE220B">
        <w:t>Снижение показателя в 2018 году обусловлено следующими факторами:</w:t>
      </w:r>
    </w:p>
    <w:p w:rsidR="00CE220B" w:rsidRDefault="00CE220B" w:rsidP="00D35F24">
      <w:pPr>
        <w:ind w:firstLine="709"/>
        <w:jc w:val="both"/>
      </w:pPr>
      <w:r>
        <w:t>-снижение численности постоянного населения в районе;</w:t>
      </w:r>
    </w:p>
    <w:p w:rsidR="00CE220B" w:rsidRDefault="00CE220B" w:rsidP="00CE220B">
      <w:pPr>
        <w:ind w:firstLine="709"/>
        <w:jc w:val="both"/>
      </w:pPr>
      <w:r>
        <w:t>-конкуренция со стороны крупных компаний (сети Магнит, Пятерочка).</w:t>
      </w:r>
    </w:p>
    <w:p w:rsidR="00404A35" w:rsidRPr="00FA0520" w:rsidRDefault="00404A35" w:rsidP="00D35F24">
      <w:pPr>
        <w:ind w:firstLine="709"/>
        <w:jc w:val="both"/>
        <w:rPr>
          <w:highlight w:val="yellow"/>
        </w:rPr>
      </w:pPr>
      <w:r>
        <w:t>К</w:t>
      </w:r>
      <w:r w:rsidRPr="00354587">
        <w:t>оличество малых предприятий</w:t>
      </w:r>
      <w:r>
        <w:t>,</w:t>
      </w:r>
      <w:r w:rsidRPr="00404A35">
        <w:t xml:space="preserve"> </w:t>
      </w:r>
      <w:r w:rsidRPr="00354587">
        <w:t>включая микропредприятия</w:t>
      </w:r>
      <w:r w:rsidRPr="00293E7A">
        <w:t xml:space="preserve"> </w:t>
      </w:r>
      <w:r>
        <w:t>в</w:t>
      </w:r>
      <w:r w:rsidRPr="00293E7A">
        <w:t xml:space="preserve"> 2019 году по оценке</w:t>
      </w:r>
      <w:r w:rsidRPr="00354587">
        <w:t xml:space="preserve"> </w:t>
      </w:r>
      <w:r w:rsidRPr="00293E7A">
        <w:t xml:space="preserve">составит </w:t>
      </w:r>
      <w:r>
        <w:t>259</w:t>
      </w:r>
      <w:r w:rsidRPr="00293E7A">
        <w:t xml:space="preserve"> </w:t>
      </w:r>
      <w:r>
        <w:t xml:space="preserve">единиц </w:t>
      </w:r>
      <w:r w:rsidRPr="00293E7A">
        <w:t xml:space="preserve">(прогноз </w:t>
      </w:r>
      <w:r>
        <w:t>283 единиц</w:t>
      </w:r>
      <w:r w:rsidRPr="00293E7A">
        <w:t xml:space="preserve">), что выше факта 2018 года на </w:t>
      </w:r>
      <w:r w:rsidR="000D27AD">
        <w:t xml:space="preserve">3,6 </w:t>
      </w:r>
      <w:r w:rsidRPr="00293E7A">
        <w:t xml:space="preserve">% и </w:t>
      </w:r>
      <w:r w:rsidR="000D27AD">
        <w:t>ниж</w:t>
      </w:r>
      <w:r w:rsidRPr="00293E7A">
        <w:t xml:space="preserve">е прогноза на </w:t>
      </w:r>
      <w:r w:rsidR="000D27AD">
        <w:t>8,5</w:t>
      </w:r>
      <w:r w:rsidRPr="00293E7A">
        <w:t xml:space="preserve"> %.</w:t>
      </w:r>
    </w:p>
    <w:p w:rsidR="00D35F24" w:rsidRPr="00354587" w:rsidRDefault="000D27AD" w:rsidP="00D35F24">
      <w:pPr>
        <w:shd w:val="clear" w:color="auto" w:fill="FFFFFF"/>
        <w:ind w:firstLine="709"/>
        <w:jc w:val="both"/>
      </w:pPr>
      <w:r>
        <w:t>О</w:t>
      </w:r>
      <w:r w:rsidR="00D35F24" w:rsidRPr="00354587">
        <w:t>дним из множества факторов влияющих на данный показатель, является</w:t>
      </w:r>
      <w:r w:rsidR="00CE220B">
        <w:t>, повторюсь,</w:t>
      </w:r>
      <w:r w:rsidR="00D35F24" w:rsidRPr="00354587">
        <w:t xml:space="preserve">   уменьшение численности постоянного населения, которое составляет 98,</w:t>
      </w:r>
      <w:r w:rsidR="00354587">
        <w:t>0</w:t>
      </w:r>
      <w:r w:rsidR="00D35F24" w:rsidRPr="00354587">
        <w:t>% к уровню 201</w:t>
      </w:r>
      <w:r w:rsidR="00354587">
        <w:t>7</w:t>
      </w:r>
      <w:r w:rsidR="00D35F24" w:rsidRPr="00354587">
        <w:t xml:space="preserve"> года. </w:t>
      </w:r>
    </w:p>
    <w:p w:rsidR="000D27AD" w:rsidRPr="00AD3551" w:rsidRDefault="000D27AD" w:rsidP="000D27AD">
      <w:pPr>
        <w:ind w:firstLine="720"/>
        <w:jc w:val="both"/>
      </w:pPr>
      <w:r w:rsidRPr="00AD3551">
        <w:lastRenderedPageBreak/>
        <w:t xml:space="preserve">В прогнозируемом периоде планируется постепенный рост </w:t>
      </w:r>
      <w:r>
        <w:t>количества</w:t>
      </w:r>
      <w:r w:rsidRPr="00354587">
        <w:t xml:space="preserve"> малых предприятий</w:t>
      </w:r>
      <w:r>
        <w:t>,</w:t>
      </w:r>
      <w:r w:rsidRPr="00404A35">
        <w:t xml:space="preserve"> </w:t>
      </w:r>
      <w:r>
        <w:t>в том числе</w:t>
      </w:r>
      <w:r w:rsidRPr="00354587">
        <w:t xml:space="preserve"> микр</w:t>
      </w:r>
      <w:r>
        <w:t>опредприятий</w:t>
      </w:r>
      <w:r w:rsidRPr="00293E7A">
        <w:t xml:space="preserve"> </w:t>
      </w:r>
      <w:r w:rsidRPr="00AD3551">
        <w:t xml:space="preserve">и </w:t>
      </w:r>
      <w:r>
        <w:t xml:space="preserve">к </w:t>
      </w:r>
      <w:r w:rsidRPr="00AD3551">
        <w:t xml:space="preserve">2022 году </w:t>
      </w:r>
      <w:r>
        <w:t xml:space="preserve">возрастет до </w:t>
      </w:r>
      <w:r w:rsidRPr="00AD3551">
        <w:t xml:space="preserve"> </w:t>
      </w:r>
      <w:r>
        <w:t>268 единиц</w:t>
      </w:r>
      <w:r w:rsidRPr="00AD3551">
        <w:t xml:space="preserve">. </w:t>
      </w:r>
    </w:p>
    <w:p w:rsidR="00D35F24" w:rsidRPr="000D27AD" w:rsidRDefault="00D35F24" w:rsidP="00D35F24">
      <w:pPr>
        <w:shd w:val="clear" w:color="auto" w:fill="FFFFFF"/>
        <w:ind w:firstLine="709"/>
        <w:jc w:val="both"/>
      </w:pPr>
      <w:r w:rsidRPr="000D27AD">
        <w:t xml:space="preserve">Положительная динамика </w:t>
      </w:r>
      <w:r w:rsidR="000D27AD">
        <w:t xml:space="preserve">роста количества предприятий будет </w:t>
      </w:r>
      <w:r w:rsidRPr="000D27AD">
        <w:t>наблюда</w:t>
      </w:r>
      <w:r w:rsidR="000D27AD">
        <w:t>ть</w:t>
      </w:r>
      <w:r w:rsidRPr="000D27AD">
        <w:t>ся в таких отраслях как сельское хозяйство, деятельность в области здравоохранения и социальных услуг.</w:t>
      </w:r>
    </w:p>
    <w:p w:rsidR="00CE220B" w:rsidRDefault="00D35F24" w:rsidP="00D35F24">
      <w:pPr>
        <w:ind w:firstLine="709"/>
        <w:jc w:val="both"/>
      </w:pPr>
      <w:r w:rsidRPr="00FB3550">
        <w:t>За период 201</w:t>
      </w:r>
      <w:r w:rsidR="00FB3550" w:rsidRPr="00FB3550">
        <w:t>8</w:t>
      </w:r>
      <w:r w:rsidRPr="00FB3550">
        <w:t xml:space="preserve"> года </w:t>
      </w:r>
      <w:r w:rsidRPr="00FB3550">
        <w:rPr>
          <w:bCs/>
        </w:rPr>
        <w:t xml:space="preserve">среднесписочная численность работников </w:t>
      </w:r>
      <w:r w:rsidRPr="00FB3550">
        <w:t>малых предприятий составила на постоянной основе 1</w:t>
      </w:r>
      <w:r w:rsidR="00FB3550" w:rsidRPr="00FB3550">
        <w:t>910</w:t>
      </w:r>
      <w:r w:rsidRPr="00FB3550">
        <w:t xml:space="preserve"> человек, что составляет 10</w:t>
      </w:r>
      <w:r w:rsidR="00FB3550" w:rsidRPr="00FB3550">
        <w:t>0</w:t>
      </w:r>
      <w:r w:rsidRPr="00FB3550">
        <w:t>,</w:t>
      </w:r>
      <w:r w:rsidR="00FB3550" w:rsidRPr="00FB3550">
        <w:t>8</w:t>
      </w:r>
      <w:r w:rsidRPr="00FB3550">
        <w:t xml:space="preserve"> % к уровню  201</w:t>
      </w:r>
      <w:r w:rsidR="00FB3550" w:rsidRPr="00FB3550">
        <w:t>7</w:t>
      </w:r>
      <w:r w:rsidRPr="00FB3550">
        <w:t xml:space="preserve"> гола. Увеличение численности наемных работников  в абсолютных величинах  составило </w:t>
      </w:r>
      <w:r w:rsidR="00FB3550" w:rsidRPr="00FB3550">
        <w:t>15</w:t>
      </w:r>
      <w:r w:rsidRPr="00FB3550">
        <w:t xml:space="preserve">  человек</w:t>
      </w:r>
      <w:r w:rsidRPr="008E5805">
        <w:t>. Наибольшее увеличение среднесписочной численности  наемных работников произошло в таких  отраслях как</w:t>
      </w:r>
      <w:r w:rsidR="00CE220B">
        <w:t>:</w:t>
      </w:r>
    </w:p>
    <w:p w:rsidR="00CE220B" w:rsidRDefault="00CE220B" w:rsidP="00D35F24">
      <w:pPr>
        <w:ind w:firstLine="709"/>
        <w:jc w:val="both"/>
      </w:pPr>
      <w:r>
        <w:t>-</w:t>
      </w:r>
      <w:r w:rsidR="00D35F24" w:rsidRPr="008E5805">
        <w:t xml:space="preserve"> обрабатывающие производства, торговл</w:t>
      </w:r>
      <w:r w:rsidR="008E5805" w:rsidRPr="008E5805">
        <w:t>я</w:t>
      </w:r>
      <w:r w:rsidR="00D35F24" w:rsidRPr="008E5805">
        <w:t xml:space="preserve"> оптов</w:t>
      </w:r>
      <w:r w:rsidR="008E5805" w:rsidRPr="008E5805">
        <w:t xml:space="preserve">ая и </w:t>
      </w:r>
      <w:r w:rsidR="00D35F24" w:rsidRPr="008E5805">
        <w:t>розничн</w:t>
      </w:r>
      <w:r w:rsidR="008E5805" w:rsidRPr="008E5805">
        <w:t>ая</w:t>
      </w:r>
      <w:r w:rsidR="00D35F24" w:rsidRPr="008E5805">
        <w:t>;</w:t>
      </w:r>
    </w:p>
    <w:p w:rsidR="00CE220B" w:rsidRDefault="00CE220B" w:rsidP="00D35F24">
      <w:pPr>
        <w:ind w:firstLine="709"/>
        <w:jc w:val="both"/>
      </w:pPr>
      <w:r>
        <w:t>-</w:t>
      </w:r>
      <w:r w:rsidR="00D35F24" w:rsidRPr="008E5805">
        <w:t>ремонт автотранспортных средств и мотоциклов, деятельность по о</w:t>
      </w:r>
      <w:r w:rsidR="008E5805" w:rsidRPr="008E5805">
        <w:t>перациям с недвижимым имуществом</w:t>
      </w:r>
      <w:r>
        <w:t xml:space="preserve">; </w:t>
      </w:r>
    </w:p>
    <w:p w:rsidR="00D35F24" w:rsidRPr="008E5805" w:rsidRDefault="00CE220B" w:rsidP="00D35F24">
      <w:pPr>
        <w:ind w:firstLine="709"/>
        <w:jc w:val="both"/>
      </w:pPr>
      <w:r>
        <w:t>-</w:t>
      </w:r>
      <w:r w:rsidR="008E5805" w:rsidRPr="008E5805">
        <w:t>деятельность профессиональная, научная и техническая</w:t>
      </w:r>
      <w:r w:rsidR="00D35F24" w:rsidRPr="008E5805">
        <w:t>.</w:t>
      </w:r>
    </w:p>
    <w:p w:rsidR="00030794" w:rsidRPr="00AD3551" w:rsidRDefault="00030794" w:rsidP="00030794">
      <w:pPr>
        <w:ind w:firstLine="720"/>
        <w:jc w:val="both"/>
      </w:pPr>
      <w:r w:rsidRPr="00AD3551">
        <w:t xml:space="preserve">В 2019 году по оценке </w:t>
      </w:r>
      <w:r w:rsidRPr="00FB3550">
        <w:rPr>
          <w:bCs/>
        </w:rPr>
        <w:t xml:space="preserve">среднесписочная численность работников </w:t>
      </w:r>
      <w:r w:rsidRPr="00FB3550">
        <w:t>малых предприятий</w:t>
      </w:r>
      <w:r w:rsidRPr="00AD3551">
        <w:t xml:space="preserve"> составит </w:t>
      </w:r>
      <w:r>
        <w:t>1982 человека</w:t>
      </w:r>
      <w:r w:rsidRPr="00AD3551">
        <w:t xml:space="preserve"> (прогноз </w:t>
      </w:r>
      <w:r>
        <w:t>1918</w:t>
      </w:r>
      <w:r w:rsidRPr="00AD3551">
        <w:t xml:space="preserve"> млн. руб.), что выше факта 2018 года на 3,</w:t>
      </w:r>
      <w:r>
        <w:t>8</w:t>
      </w:r>
      <w:r w:rsidRPr="00AD3551">
        <w:t xml:space="preserve"> % и </w:t>
      </w:r>
      <w:r>
        <w:t>выш</w:t>
      </w:r>
      <w:r w:rsidRPr="00AD3551">
        <w:t xml:space="preserve">е уровня прогноза на </w:t>
      </w:r>
      <w:r>
        <w:t>3,3</w:t>
      </w:r>
      <w:r w:rsidRPr="00AD3551">
        <w:t xml:space="preserve"> %.</w:t>
      </w:r>
    </w:p>
    <w:p w:rsidR="00D35F24" w:rsidRPr="00030794" w:rsidRDefault="00D35F24" w:rsidP="00D35F24">
      <w:pPr>
        <w:ind w:firstLine="709"/>
        <w:jc w:val="both"/>
      </w:pPr>
      <w:r w:rsidRPr="00030794">
        <w:t>Прогноз среднесписочной численности ра</w:t>
      </w:r>
      <w:r w:rsidR="00030794">
        <w:t>ботников малых предприятий в 2019</w:t>
      </w:r>
      <w:r w:rsidRPr="00030794">
        <w:t xml:space="preserve"> году планируется в количестве 19</w:t>
      </w:r>
      <w:r w:rsidR="00030794">
        <w:t>18</w:t>
      </w:r>
      <w:r w:rsidRPr="00030794">
        <w:t xml:space="preserve"> человек; 20</w:t>
      </w:r>
      <w:r w:rsidR="00030794">
        <w:t>20</w:t>
      </w:r>
      <w:r w:rsidR="00463AAE">
        <w:t xml:space="preserve"> году </w:t>
      </w:r>
      <w:r w:rsidRPr="00030794">
        <w:t xml:space="preserve">- </w:t>
      </w:r>
      <w:r w:rsidR="00463AAE">
        <w:t>2022 человека</w:t>
      </w:r>
      <w:r w:rsidRPr="00030794">
        <w:t>, 202</w:t>
      </w:r>
      <w:r w:rsidR="00030794">
        <w:t>1</w:t>
      </w:r>
      <w:r w:rsidRPr="00030794">
        <w:t xml:space="preserve"> г</w:t>
      </w:r>
      <w:r w:rsidR="00463AAE">
        <w:t xml:space="preserve">оду </w:t>
      </w:r>
      <w:r w:rsidRPr="00030794">
        <w:t xml:space="preserve">- </w:t>
      </w:r>
      <w:r w:rsidR="00030794">
        <w:t xml:space="preserve">2047 человек, </w:t>
      </w:r>
      <w:r w:rsidRPr="00030794">
        <w:t>202</w:t>
      </w:r>
      <w:r w:rsidR="00030794">
        <w:t>2</w:t>
      </w:r>
      <w:r w:rsidRPr="00030794">
        <w:t xml:space="preserve"> г</w:t>
      </w:r>
      <w:r w:rsidR="00463AAE">
        <w:t xml:space="preserve">оду </w:t>
      </w:r>
      <w:r w:rsidRPr="00030794">
        <w:t xml:space="preserve">- </w:t>
      </w:r>
      <w:r w:rsidR="00030794">
        <w:t xml:space="preserve"> 2068человек</w:t>
      </w:r>
      <w:r w:rsidRPr="00030794">
        <w:t xml:space="preserve"> соответственно.</w:t>
      </w:r>
    </w:p>
    <w:p w:rsidR="00D35F24" w:rsidRPr="00463AAE" w:rsidRDefault="00D35F24" w:rsidP="00463AAE">
      <w:pPr>
        <w:pStyle w:val="paragraph"/>
        <w:spacing w:before="0" w:beforeAutospacing="0" w:after="0" w:afterAutospacing="0"/>
        <w:ind w:firstLine="709"/>
        <w:jc w:val="both"/>
        <w:textAlignment w:val="baseline"/>
        <w:rPr>
          <w:rFonts w:eastAsia="Calibri"/>
        </w:rPr>
      </w:pPr>
      <w:r w:rsidRPr="00463AAE">
        <w:rPr>
          <w:sz w:val="28"/>
          <w:szCs w:val="28"/>
        </w:rPr>
        <w:t xml:space="preserve">Рост среднесписочной численности работников малых предприятий планируется за счет </w:t>
      </w:r>
      <w:r w:rsidRPr="00463AAE">
        <w:rPr>
          <w:rFonts w:eastAsia="Calibri"/>
          <w:sz w:val="28"/>
          <w:szCs w:val="28"/>
        </w:rPr>
        <w:t>стабилизации экономической ситуации на рынке труда</w:t>
      </w:r>
      <w:r w:rsidR="00463AAE" w:rsidRPr="00463AAE">
        <w:rPr>
          <w:rFonts w:eastAsia="Calibri"/>
          <w:sz w:val="28"/>
          <w:szCs w:val="28"/>
        </w:rPr>
        <w:t>,</w:t>
      </w:r>
      <w:r w:rsidR="00463AAE" w:rsidRPr="00463AAE">
        <w:rPr>
          <w:sz w:val="28"/>
          <w:szCs w:val="28"/>
        </w:rPr>
        <w:t xml:space="preserve"> у</w:t>
      </w:r>
      <w:r w:rsidR="00463AAE" w:rsidRPr="00463AAE">
        <w:rPr>
          <w:rStyle w:val="normaltextrun"/>
          <w:sz w:val="28"/>
          <w:szCs w:val="28"/>
        </w:rPr>
        <w:t xml:space="preserve">жесточения трудового законодательства и работы комиссии по </w:t>
      </w:r>
      <w:r w:rsidR="00F21D5D">
        <w:rPr>
          <w:rStyle w:val="normaltextrun"/>
          <w:sz w:val="28"/>
          <w:szCs w:val="28"/>
        </w:rPr>
        <w:t xml:space="preserve">адаптации </w:t>
      </w:r>
      <w:r w:rsidR="00463AAE" w:rsidRPr="00463AAE">
        <w:rPr>
          <w:rStyle w:val="normaltextrun"/>
          <w:sz w:val="28"/>
          <w:szCs w:val="28"/>
        </w:rPr>
        <w:t>неформального рынка</w:t>
      </w:r>
      <w:r w:rsidR="00463AAE" w:rsidRPr="004A30D1">
        <w:rPr>
          <w:rStyle w:val="normaltextrun"/>
          <w:sz w:val="28"/>
          <w:szCs w:val="28"/>
        </w:rPr>
        <w:t xml:space="preserve"> труда</w:t>
      </w:r>
      <w:r w:rsidR="00F21D5D">
        <w:rPr>
          <w:rStyle w:val="normaltextrun"/>
          <w:sz w:val="28"/>
          <w:szCs w:val="28"/>
        </w:rPr>
        <w:t xml:space="preserve"> и борьбе с нарушениями трудовых прав работников</w:t>
      </w:r>
      <w:r w:rsidR="00463AAE" w:rsidRPr="004A30D1">
        <w:rPr>
          <w:rStyle w:val="normaltextrun"/>
          <w:sz w:val="28"/>
          <w:szCs w:val="28"/>
        </w:rPr>
        <w:t>.</w:t>
      </w:r>
      <w:r w:rsidRPr="00463AAE">
        <w:rPr>
          <w:rFonts w:eastAsia="Calibri"/>
        </w:rPr>
        <w:t xml:space="preserve"> </w:t>
      </w:r>
    </w:p>
    <w:p w:rsidR="009D4F68" w:rsidRDefault="00D35F24" w:rsidP="00D35F24">
      <w:pPr>
        <w:autoSpaceDE w:val="0"/>
        <w:autoSpaceDN w:val="0"/>
        <w:adjustRightInd w:val="0"/>
        <w:ind w:firstLine="709"/>
        <w:jc w:val="both"/>
      </w:pPr>
      <w:r w:rsidRPr="004D4B26">
        <w:t>Оборот малых предприятий,</w:t>
      </w:r>
      <w:r w:rsidR="004D4B26" w:rsidRPr="004D4B26">
        <w:t xml:space="preserve"> включая микропредприятия</w:t>
      </w:r>
      <w:r w:rsidRPr="004D4B26">
        <w:t xml:space="preserve"> по факту 201</w:t>
      </w:r>
      <w:r w:rsidR="004D4B26" w:rsidRPr="004D4B26">
        <w:t>8</w:t>
      </w:r>
      <w:r w:rsidRPr="004D4B26">
        <w:t xml:space="preserve"> года составил 4</w:t>
      </w:r>
      <w:r w:rsidR="004D4B26" w:rsidRPr="004D4B26">
        <w:t>927</w:t>
      </w:r>
      <w:r w:rsidRPr="004D4B26">
        <w:t>,0 млн.руб. или 1</w:t>
      </w:r>
      <w:r w:rsidR="004D4B26" w:rsidRPr="004D4B26">
        <w:t>02,3</w:t>
      </w:r>
      <w:r w:rsidRPr="004D4B26">
        <w:t xml:space="preserve"> % к факту 201</w:t>
      </w:r>
      <w:r w:rsidR="004D4B26" w:rsidRPr="004D4B26">
        <w:t>7</w:t>
      </w:r>
      <w:r w:rsidRPr="004D4B26">
        <w:t xml:space="preserve"> года. </w:t>
      </w:r>
    </w:p>
    <w:p w:rsidR="00D35F24" w:rsidRPr="00817C03" w:rsidRDefault="00D35F24" w:rsidP="00D35F24">
      <w:pPr>
        <w:autoSpaceDE w:val="0"/>
        <w:autoSpaceDN w:val="0"/>
        <w:adjustRightInd w:val="0"/>
        <w:ind w:firstLine="709"/>
        <w:jc w:val="both"/>
      </w:pPr>
      <w:r w:rsidRPr="00817C03">
        <w:t>По оценке в 201</w:t>
      </w:r>
      <w:r w:rsidR="00817C03" w:rsidRPr="00817C03">
        <w:t>9</w:t>
      </w:r>
      <w:r w:rsidRPr="00817C03">
        <w:t xml:space="preserve"> году оборот </w:t>
      </w:r>
      <w:r w:rsidR="004627A6" w:rsidRPr="00817C03">
        <w:t xml:space="preserve"> </w:t>
      </w:r>
      <w:r w:rsidRPr="00817C03">
        <w:t>малых предприятий</w:t>
      </w:r>
      <w:r w:rsidR="00817C03" w:rsidRPr="00817C03">
        <w:t>, включая микропредприятия</w:t>
      </w:r>
      <w:r w:rsidRPr="00817C03">
        <w:t xml:space="preserve"> ожидается в размере </w:t>
      </w:r>
      <w:r w:rsidR="00817C03">
        <w:t>5045,0</w:t>
      </w:r>
      <w:r w:rsidRPr="00817C03">
        <w:t xml:space="preserve"> млн. руб.</w:t>
      </w:r>
      <w:r w:rsidR="00A22735" w:rsidRPr="00817C03">
        <w:t xml:space="preserve"> </w:t>
      </w:r>
      <w:r w:rsidR="00817C03">
        <w:t>В прогнозируемом периоде ожидается рост данного показателя и к</w:t>
      </w:r>
      <w:r w:rsidRPr="00817C03">
        <w:t xml:space="preserve"> 202</w:t>
      </w:r>
      <w:r w:rsidR="00817C03">
        <w:t>2 году</w:t>
      </w:r>
      <w:r w:rsidRPr="00817C03">
        <w:t xml:space="preserve"> оборот </w:t>
      </w:r>
      <w:r w:rsidR="00817C03" w:rsidRPr="00817C03">
        <w:t>малых предприятий, включая микропредприятия</w:t>
      </w:r>
      <w:r w:rsidRPr="00817C03">
        <w:t xml:space="preserve"> в сопоставимых ценах возрастет до </w:t>
      </w:r>
      <w:r w:rsidR="00817C03">
        <w:t>5479</w:t>
      </w:r>
      <w:r w:rsidRPr="00817C03">
        <w:t xml:space="preserve">,0 млн. руб. </w:t>
      </w:r>
    </w:p>
    <w:p w:rsidR="00716038" w:rsidRPr="00FA0520" w:rsidRDefault="00716038" w:rsidP="000305B7">
      <w:pPr>
        <w:autoSpaceDE w:val="0"/>
        <w:autoSpaceDN w:val="0"/>
        <w:adjustRightInd w:val="0"/>
        <w:ind w:firstLine="709"/>
        <w:jc w:val="both"/>
        <w:rPr>
          <w:highlight w:val="yellow"/>
        </w:rPr>
      </w:pPr>
    </w:p>
    <w:p w:rsidR="00716038" w:rsidRPr="00F21D5D" w:rsidRDefault="00716038" w:rsidP="000305B7">
      <w:pPr>
        <w:autoSpaceDE w:val="0"/>
        <w:autoSpaceDN w:val="0"/>
        <w:adjustRightInd w:val="0"/>
        <w:ind w:firstLine="709"/>
        <w:jc w:val="center"/>
        <w:outlineLvl w:val="0"/>
        <w:rPr>
          <w:b/>
        </w:rPr>
      </w:pPr>
      <w:r w:rsidRPr="00F21D5D">
        <w:rPr>
          <w:b/>
        </w:rPr>
        <w:t>Финансы</w:t>
      </w:r>
    </w:p>
    <w:p w:rsidR="00716038" w:rsidRPr="0033304B" w:rsidRDefault="00716038" w:rsidP="000305B7">
      <w:pPr>
        <w:autoSpaceDE w:val="0"/>
        <w:autoSpaceDN w:val="0"/>
        <w:adjustRightInd w:val="0"/>
        <w:ind w:firstLine="709"/>
        <w:jc w:val="both"/>
        <w:outlineLvl w:val="0"/>
      </w:pPr>
      <w:r w:rsidRPr="0033304B">
        <w:t>В 201</w:t>
      </w:r>
      <w:r w:rsidR="00F21D5D" w:rsidRPr="0033304B">
        <w:t>8</w:t>
      </w:r>
      <w:r w:rsidRPr="0033304B">
        <w:t xml:space="preserve"> году балансовая прибыль </w:t>
      </w:r>
      <w:r w:rsidR="00613AC7" w:rsidRPr="0033304B">
        <w:t xml:space="preserve">предприятий </w:t>
      </w:r>
      <w:r w:rsidRPr="0033304B">
        <w:t xml:space="preserve">была получена в размере </w:t>
      </w:r>
      <w:r w:rsidR="00C6144D" w:rsidRPr="0033304B">
        <w:t>307,73</w:t>
      </w:r>
      <w:r w:rsidRPr="0033304B">
        <w:t xml:space="preserve"> млн. руб., это </w:t>
      </w:r>
      <w:r w:rsidR="001D6059" w:rsidRPr="0033304B">
        <w:t>1</w:t>
      </w:r>
      <w:r w:rsidR="00C6144D" w:rsidRPr="0033304B">
        <w:t>38,4</w:t>
      </w:r>
      <w:r w:rsidRPr="0033304B">
        <w:t xml:space="preserve"> % к 201</w:t>
      </w:r>
      <w:r w:rsidR="00C6144D" w:rsidRPr="0033304B">
        <w:t>7</w:t>
      </w:r>
      <w:r w:rsidRPr="0033304B">
        <w:t xml:space="preserve"> году, к оценке 201</w:t>
      </w:r>
      <w:r w:rsidR="00C6144D" w:rsidRPr="0033304B">
        <w:t>8</w:t>
      </w:r>
      <w:r w:rsidRPr="0033304B">
        <w:t xml:space="preserve"> года</w:t>
      </w:r>
      <w:r w:rsidR="00C6144D" w:rsidRPr="0033304B">
        <w:t xml:space="preserve"> –</w:t>
      </w:r>
      <w:r w:rsidRPr="0033304B">
        <w:t xml:space="preserve"> </w:t>
      </w:r>
      <w:r w:rsidR="00C6144D" w:rsidRPr="0033304B">
        <w:t>71,0</w:t>
      </w:r>
      <w:r w:rsidRPr="0033304B">
        <w:t>%.</w:t>
      </w:r>
    </w:p>
    <w:p w:rsidR="00716038" w:rsidRPr="0033304B" w:rsidRDefault="00716038" w:rsidP="000305B7">
      <w:pPr>
        <w:ind w:firstLine="709"/>
        <w:jc w:val="both"/>
      </w:pPr>
      <w:r w:rsidRPr="0033304B">
        <w:t>В 201</w:t>
      </w:r>
      <w:r w:rsidR="00C6144D" w:rsidRPr="0033304B">
        <w:t>8</w:t>
      </w:r>
      <w:r w:rsidRPr="0033304B">
        <w:t xml:space="preserve"> году </w:t>
      </w:r>
      <w:r w:rsidR="000305B7" w:rsidRPr="0033304B">
        <w:t>прибыль</w:t>
      </w:r>
      <w:r w:rsidRPr="0033304B">
        <w:t xml:space="preserve"> прибыль</w:t>
      </w:r>
      <w:r w:rsidR="000305B7" w:rsidRPr="0033304B">
        <w:t>ных</w:t>
      </w:r>
      <w:r w:rsidRPr="0033304B">
        <w:t xml:space="preserve"> </w:t>
      </w:r>
      <w:r w:rsidR="00613AC7" w:rsidRPr="0033304B">
        <w:t xml:space="preserve">предприятий </w:t>
      </w:r>
      <w:r w:rsidR="000305B7" w:rsidRPr="0033304B">
        <w:t xml:space="preserve">сложилась </w:t>
      </w:r>
      <w:r w:rsidRPr="0033304B">
        <w:t xml:space="preserve">в размере </w:t>
      </w:r>
      <w:r w:rsidR="00C6144D" w:rsidRPr="0033304B">
        <w:t>520,9</w:t>
      </w:r>
      <w:r w:rsidRPr="0033304B">
        <w:t xml:space="preserve"> млн. руб. </w:t>
      </w:r>
      <w:r w:rsidR="00C6144D" w:rsidRPr="0033304B">
        <w:t>Прибыль предприятий промышленности (263,6 млн.руб.) составила 50,6%</w:t>
      </w:r>
      <w:r w:rsidRPr="0033304B">
        <w:t xml:space="preserve"> </w:t>
      </w:r>
      <w:r w:rsidR="00C6144D" w:rsidRPr="0033304B">
        <w:t>от общего результата</w:t>
      </w:r>
      <w:r w:rsidRPr="0033304B">
        <w:t>. Убытки убыточных предприятий в 201</w:t>
      </w:r>
      <w:r w:rsidR="00C6144D" w:rsidRPr="0033304B">
        <w:t>8</w:t>
      </w:r>
      <w:r w:rsidRPr="0033304B">
        <w:t xml:space="preserve"> году составили </w:t>
      </w:r>
      <w:r w:rsidR="00C6144D" w:rsidRPr="0033304B">
        <w:t>213,17 млн. руб.</w:t>
      </w:r>
      <w:r w:rsidRPr="0033304B">
        <w:t xml:space="preserve"> </w:t>
      </w:r>
      <w:r w:rsidR="00C6144D" w:rsidRPr="0033304B">
        <w:t>О</w:t>
      </w:r>
      <w:r w:rsidRPr="0033304B">
        <w:t>сновн</w:t>
      </w:r>
      <w:r w:rsidR="00C6144D" w:rsidRPr="0033304B">
        <w:t>ая доля убытков</w:t>
      </w:r>
      <w:r w:rsidRPr="0033304B">
        <w:t xml:space="preserve"> </w:t>
      </w:r>
      <w:r w:rsidR="0033304B" w:rsidRPr="0033304B">
        <w:t xml:space="preserve">69,0% </w:t>
      </w:r>
      <w:r w:rsidR="00C6144D" w:rsidRPr="0033304B">
        <w:t xml:space="preserve">приходится на </w:t>
      </w:r>
      <w:r w:rsidR="0033304B" w:rsidRPr="0033304B">
        <w:t xml:space="preserve">предприятия </w:t>
      </w:r>
      <w:r w:rsidR="001D6059" w:rsidRPr="0033304B">
        <w:t>по другим видам экономической деятельности</w:t>
      </w:r>
      <w:r w:rsidRPr="0033304B">
        <w:t xml:space="preserve"> </w:t>
      </w:r>
      <w:r w:rsidR="0033304B" w:rsidRPr="0033304B">
        <w:t>(147,26</w:t>
      </w:r>
      <w:r w:rsidRPr="0033304B">
        <w:t xml:space="preserve"> млн. руб.</w:t>
      </w:r>
      <w:r w:rsidR="0033304B" w:rsidRPr="0033304B">
        <w:t>).</w:t>
      </w:r>
    </w:p>
    <w:p w:rsidR="00716038" w:rsidRPr="004607B6" w:rsidRDefault="00716038" w:rsidP="000305B7">
      <w:pPr>
        <w:ind w:firstLine="709"/>
        <w:jc w:val="both"/>
      </w:pPr>
      <w:r w:rsidRPr="004607B6">
        <w:lastRenderedPageBreak/>
        <w:t>По оценке в 201</w:t>
      </w:r>
      <w:r w:rsidR="0033304B" w:rsidRPr="004607B6">
        <w:t>9</w:t>
      </w:r>
      <w:r w:rsidRPr="004607B6">
        <w:t xml:space="preserve"> году в целом по району ожидается положительный финансовый результат: прибыль прибыльных предприятий составит </w:t>
      </w:r>
      <w:r w:rsidR="001D6059" w:rsidRPr="004607B6">
        <w:t>5</w:t>
      </w:r>
      <w:r w:rsidR="0033304B" w:rsidRPr="004607B6">
        <w:t>22,94</w:t>
      </w:r>
      <w:r w:rsidRPr="004607B6">
        <w:t xml:space="preserve"> млн. рублей (прогноз </w:t>
      </w:r>
      <w:r w:rsidR="0033304B" w:rsidRPr="004607B6">
        <w:t>587,74</w:t>
      </w:r>
      <w:r w:rsidRPr="004607B6">
        <w:t xml:space="preserve"> млн. руб.), убыток убыточных – </w:t>
      </w:r>
      <w:r w:rsidR="0033304B" w:rsidRPr="004607B6">
        <w:t>150,73</w:t>
      </w:r>
      <w:r w:rsidRPr="004607B6">
        <w:t xml:space="preserve"> млн. рублей (прогноз </w:t>
      </w:r>
      <w:r w:rsidR="0033304B" w:rsidRPr="004607B6">
        <w:t>134,37</w:t>
      </w:r>
      <w:r w:rsidRPr="004607B6">
        <w:t xml:space="preserve"> млн. руб.). Балансовая прибыль в 201</w:t>
      </w:r>
      <w:r w:rsidR="004607B6" w:rsidRPr="004607B6">
        <w:t>9</w:t>
      </w:r>
      <w:r w:rsidRPr="004607B6">
        <w:t xml:space="preserve"> году ожидается в размере </w:t>
      </w:r>
      <w:r w:rsidR="004607B6" w:rsidRPr="004607B6">
        <w:t>372,20</w:t>
      </w:r>
      <w:r w:rsidRPr="004607B6">
        <w:t xml:space="preserve"> млн. руб. (прогноз </w:t>
      </w:r>
      <w:r w:rsidR="004607B6" w:rsidRPr="004607B6">
        <w:t>453,38</w:t>
      </w:r>
      <w:r w:rsidRPr="004607B6">
        <w:t xml:space="preserve"> млн. руб.). </w:t>
      </w:r>
    </w:p>
    <w:p w:rsidR="00716038" w:rsidRPr="00193F61" w:rsidRDefault="00716038" w:rsidP="000305B7">
      <w:pPr>
        <w:ind w:firstLine="709"/>
        <w:jc w:val="both"/>
      </w:pPr>
      <w:r w:rsidRPr="00193F61">
        <w:t xml:space="preserve">В дальнейшем, в связи с прогнозируемым ростом объемов производства, сальдированный финансовый результат в целом по району будет улучшаться и составит </w:t>
      </w:r>
      <w:r w:rsidR="00D54D77" w:rsidRPr="00193F61">
        <w:t>4</w:t>
      </w:r>
      <w:r w:rsidR="00193F61" w:rsidRPr="00193F61">
        <w:t>44,78</w:t>
      </w:r>
      <w:r w:rsidRPr="00193F61">
        <w:t xml:space="preserve"> млн. руб. прибыли в 20</w:t>
      </w:r>
      <w:r w:rsidR="00D729E7" w:rsidRPr="00193F61">
        <w:t>2</w:t>
      </w:r>
      <w:r w:rsidR="00193F61" w:rsidRPr="00193F61">
        <w:t>2</w:t>
      </w:r>
      <w:r w:rsidRPr="00193F61">
        <w:t xml:space="preserve"> году.</w:t>
      </w:r>
    </w:p>
    <w:p w:rsidR="00716038" w:rsidRPr="00FA0520" w:rsidRDefault="00716038" w:rsidP="000305B7">
      <w:pPr>
        <w:ind w:firstLine="720"/>
        <w:jc w:val="both"/>
        <w:rPr>
          <w:highlight w:val="yellow"/>
        </w:rPr>
      </w:pPr>
    </w:p>
    <w:p w:rsidR="00716038" w:rsidRPr="00FA28DE" w:rsidRDefault="00716038" w:rsidP="000305B7">
      <w:pPr>
        <w:autoSpaceDE w:val="0"/>
        <w:autoSpaceDN w:val="0"/>
        <w:adjustRightInd w:val="0"/>
        <w:ind w:firstLine="709"/>
        <w:jc w:val="center"/>
        <w:outlineLvl w:val="0"/>
        <w:rPr>
          <w:b/>
        </w:rPr>
      </w:pPr>
      <w:r w:rsidRPr="00FA28DE">
        <w:rPr>
          <w:b/>
        </w:rPr>
        <w:t>Труд и занятость</w:t>
      </w:r>
    </w:p>
    <w:p w:rsidR="00D0186B" w:rsidRPr="007173FF" w:rsidRDefault="00D0186B" w:rsidP="000305B7">
      <w:pPr>
        <w:autoSpaceDE w:val="0"/>
        <w:autoSpaceDN w:val="0"/>
        <w:adjustRightInd w:val="0"/>
        <w:ind w:firstLine="709"/>
        <w:jc w:val="both"/>
        <w:outlineLvl w:val="0"/>
      </w:pPr>
      <w:r w:rsidRPr="008B622F">
        <w:t>Негативные сдвиги в последнее десятилетие происходят в возрастной структуре района. Это находит свое проявление в росте удельного веса пожилых возрастных групп населения (</w:t>
      </w:r>
      <w:r w:rsidR="00180932" w:rsidRPr="008B622F">
        <w:t xml:space="preserve">с 23,5 % в 2011 году </w:t>
      </w:r>
      <w:r w:rsidR="00180932" w:rsidRPr="003203AB">
        <w:t xml:space="preserve">до </w:t>
      </w:r>
      <w:r w:rsidR="00D54D77" w:rsidRPr="003203AB">
        <w:t>2</w:t>
      </w:r>
      <w:r w:rsidR="00EF2317" w:rsidRPr="003203AB">
        <w:t>8,58</w:t>
      </w:r>
      <w:r w:rsidR="00180932" w:rsidRPr="003203AB">
        <w:t xml:space="preserve"> % к 201</w:t>
      </w:r>
      <w:r w:rsidR="00EF2317" w:rsidRPr="003203AB">
        <w:t>8</w:t>
      </w:r>
      <w:r w:rsidR="00180932" w:rsidRPr="003203AB">
        <w:t xml:space="preserve">), </w:t>
      </w:r>
      <w:r w:rsidR="00180932" w:rsidRPr="008B622F">
        <w:t xml:space="preserve">при одновременном сокращении удельного веса и численности лиц трудоспособного населения с 42216 человек в 2011 году до </w:t>
      </w:r>
      <w:r w:rsidR="007173FF" w:rsidRPr="007173FF">
        <w:t>32892</w:t>
      </w:r>
      <w:r w:rsidR="00180932" w:rsidRPr="007173FF">
        <w:t xml:space="preserve"> человек в 201</w:t>
      </w:r>
      <w:r w:rsidR="007173FF" w:rsidRPr="007173FF">
        <w:t>8</w:t>
      </w:r>
      <w:r w:rsidR="00180932" w:rsidRPr="007173FF">
        <w:t xml:space="preserve"> году.</w:t>
      </w:r>
    </w:p>
    <w:p w:rsidR="00180932" w:rsidRPr="003203AB" w:rsidRDefault="00E47A9E" w:rsidP="000305B7">
      <w:pPr>
        <w:autoSpaceDE w:val="0"/>
        <w:autoSpaceDN w:val="0"/>
        <w:adjustRightInd w:val="0"/>
        <w:ind w:firstLine="709"/>
        <w:jc w:val="both"/>
        <w:outlineLvl w:val="0"/>
      </w:pPr>
      <w:r w:rsidRPr="003203AB">
        <w:t>Б</w:t>
      </w:r>
      <w:r w:rsidR="00180932" w:rsidRPr="003203AB">
        <w:t>лагодаря росту рождаемости</w:t>
      </w:r>
      <w:r w:rsidRPr="003203AB">
        <w:t xml:space="preserve"> в 2010 – 2014 годах</w:t>
      </w:r>
      <w:r w:rsidR="00180932" w:rsidRPr="003203AB">
        <w:t>, категория лиц моложе трудоспособного возраста перешла в стадию роста – 16,9 % в 2011 году</w:t>
      </w:r>
      <w:r w:rsidR="00B9090C" w:rsidRPr="003203AB">
        <w:t xml:space="preserve"> и </w:t>
      </w:r>
      <w:r w:rsidR="00D54D77" w:rsidRPr="003203AB">
        <w:t>19,</w:t>
      </w:r>
      <w:r w:rsidR="003203AB" w:rsidRPr="003203AB">
        <w:t>77</w:t>
      </w:r>
      <w:r w:rsidR="00B9090C" w:rsidRPr="003203AB">
        <w:t>% в 201</w:t>
      </w:r>
      <w:r w:rsidR="003203AB" w:rsidRPr="003203AB">
        <w:t>8</w:t>
      </w:r>
      <w:r w:rsidR="00B9090C" w:rsidRPr="003203AB">
        <w:t xml:space="preserve"> году.</w:t>
      </w:r>
    </w:p>
    <w:p w:rsidR="00271C95" w:rsidRPr="003203AB" w:rsidRDefault="00E26B0C" w:rsidP="000305B7">
      <w:pPr>
        <w:autoSpaceDE w:val="0"/>
        <w:autoSpaceDN w:val="0"/>
        <w:adjustRightInd w:val="0"/>
        <w:ind w:firstLine="709"/>
        <w:jc w:val="both"/>
        <w:outlineLvl w:val="0"/>
      </w:pPr>
      <w:r w:rsidRPr="003203AB">
        <w:t xml:space="preserve">Наиболее острыми проблемами демографической ситуации остаются: значительный миграционный отток населения, высокая смертность мужчин трудоспособного возраста, увеличение доли лиц старше трудоспособного возраста. </w:t>
      </w:r>
    </w:p>
    <w:p w:rsidR="00BD51F7" w:rsidRPr="00477316" w:rsidRDefault="00BD51F7" w:rsidP="000305B7">
      <w:pPr>
        <w:ind w:firstLine="709"/>
        <w:jc w:val="both"/>
      </w:pPr>
      <w:r w:rsidRPr="00477316">
        <w:t>По данным официальной статистики среднегодовая численность постоянного населения МО «Ахтубинский район» в 201</w:t>
      </w:r>
      <w:r w:rsidR="00477316" w:rsidRPr="00477316">
        <w:t>8</w:t>
      </w:r>
      <w:r w:rsidRPr="00477316">
        <w:t xml:space="preserve"> году составила </w:t>
      </w:r>
      <w:r w:rsidR="00477316" w:rsidRPr="00477316">
        <w:t>63688</w:t>
      </w:r>
      <w:r w:rsidRPr="00477316">
        <w:t xml:space="preserve"> человек, </w:t>
      </w:r>
      <w:r w:rsidR="00477316" w:rsidRPr="00477316">
        <w:t xml:space="preserve">что ниже </w:t>
      </w:r>
      <w:r w:rsidRPr="00477316">
        <w:t>201</w:t>
      </w:r>
      <w:r w:rsidR="00477316" w:rsidRPr="00477316">
        <w:t>7</w:t>
      </w:r>
      <w:r w:rsidRPr="00477316">
        <w:t xml:space="preserve"> год</w:t>
      </w:r>
      <w:r w:rsidR="00477316" w:rsidRPr="00477316">
        <w:t>а</w:t>
      </w:r>
      <w:r w:rsidRPr="00477316">
        <w:t xml:space="preserve"> на </w:t>
      </w:r>
      <w:r w:rsidR="00477316" w:rsidRPr="00477316">
        <w:t>8</w:t>
      </w:r>
      <w:r w:rsidR="00EC7CA8" w:rsidRPr="00477316">
        <w:t>65</w:t>
      </w:r>
      <w:r w:rsidRPr="00477316">
        <w:t xml:space="preserve"> человек.</w:t>
      </w:r>
    </w:p>
    <w:p w:rsidR="00BD51F7" w:rsidRPr="00477316" w:rsidRDefault="00BD51F7" w:rsidP="000305B7">
      <w:pPr>
        <w:ind w:firstLine="709"/>
        <w:jc w:val="both"/>
      </w:pPr>
      <w:r w:rsidRPr="00477316">
        <w:t xml:space="preserve">Начиная с 1996 года и до настоящего времени численность постоянного населения в районе ежегодно уменьшается, на это влияет естественная и миграционная убыль (особенно миграционная). </w:t>
      </w:r>
    </w:p>
    <w:p w:rsidR="00477316" w:rsidRPr="00A02AB8" w:rsidRDefault="00477316" w:rsidP="00177807">
      <w:pPr>
        <w:ind w:firstLine="709"/>
        <w:jc w:val="both"/>
      </w:pPr>
      <w:r w:rsidRPr="00A02AB8">
        <w:t>За 201</w:t>
      </w:r>
      <w:r>
        <w:t>8</w:t>
      </w:r>
      <w:r w:rsidRPr="00A02AB8">
        <w:t xml:space="preserve"> год в Ахтубинском районе родил</w:t>
      </w:r>
      <w:r>
        <w:t>ось</w:t>
      </w:r>
      <w:r w:rsidRPr="00A02AB8">
        <w:t xml:space="preserve"> </w:t>
      </w:r>
      <w:r>
        <w:t>604 ребенка, это на 58 детей меньше, чем в 2017 году</w:t>
      </w:r>
      <w:r w:rsidRPr="00A02AB8">
        <w:t xml:space="preserve">. Общий уровень рождаемости составил </w:t>
      </w:r>
      <w:r>
        <w:t>9,5</w:t>
      </w:r>
      <w:r w:rsidRPr="00A02AB8">
        <w:t xml:space="preserve"> в расчете на 1000 человек населения против 1</w:t>
      </w:r>
      <w:r>
        <w:t>0,3</w:t>
      </w:r>
      <w:r w:rsidRPr="00A02AB8">
        <w:t xml:space="preserve"> в 201</w:t>
      </w:r>
      <w:r>
        <w:t>7</w:t>
      </w:r>
      <w:r w:rsidRPr="00A02AB8">
        <w:t xml:space="preserve"> году (по области – 1</w:t>
      </w:r>
      <w:r>
        <w:t>1,6</w:t>
      </w:r>
      <w:r w:rsidRPr="00A02AB8">
        <w:t>).</w:t>
      </w:r>
    </w:p>
    <w:p w:rsidR="00177807" w:rsidRDefault="00177807" w:rsidP="00177807">
      <w:pPr>
        <w:tabs>
          <w:tab w:val="left" w:pos="0"/>
          <w:tab w:val="left" w:pos="709"/>
          <w:tab w:val="left" w:pos="1843"/>
          <w:tab w:val="decimal" w:pos="2835"/>
          <w:tab w:val="decimal" w:pos="3969"/>
          <w:tab w:val="decimal" w:pos="5103"/>
          <w:tab w:val="decimal" w:pos="6237"/>
          <w:tab w:val="decimal" w:pos="7371"/>
          <w:tab w:val="left" w:pos="8505"/>
        </w:tabs>
        <w:ind w:firstLine="709"/>
        <w:jc w:val="both"/>
        <w:rPr>
          <w:color w:val="000000"/>
        </w:rPr>
      </w:pPr>
      <w:r w:rsidRPr="00177807">
        <w:t xml:space="preserve">Смертность по прежнему превышает рождаемость, </w:t>
      </w:r>
      <w:r>
        <w:t>так в</w:t>
      </w:r>
      <w:r w:rsidRPr="00177807">
        <w:rPr>
          <w:color w:val="000000"/>
        </w:rPr>
        <w:t xml:space="preserve"> 2018 году в</w:t>
      </w:r>
      <w:r>
        <w:rPr>
          <w:color w:val="000000"/>
        </w:rPr>
        <w:t xml:space="preserve"> районе умерло 861 человек (954 человека в 2017 году). Общий коэффициент смертности составил </w:t>
      </w:r>
      <w:r w:rsidRPr="003C6446">
        <w:t>1</w:t>
      </w:r>
      <w:r>
        <w:t>3,5</w:t>
      </w:r>
      <w:r>
        <w:rPr>
          <w:color w:val="000000"/>
        </w:rPr>
        <w:t xml:space="preserve"> на 1000 человек населения против 14,8 в 2017 году (по области – 11,6).</w:t>
      </w:r>
    </w:p>
    <w:p w:rsidR="00BD51F7" w:rsidRPr="00130CEF" w:rsidRDefault="00BD51F7" w:rsidP="000305B7">
      <w:pPr>
        <w:ind w:firstLine="709"/>
        <w:jc w:val="both"/>
      </w:pPr>
      <w:r w:rsidRPr="001D629D">
        <w:t>Миграция также остается отрицательной, это, прежде всего, связано с отъездом семей военнослужащих уволенных в запас и получивших жилье в других регионах России (программ</w:t>
      </w:r>
      <w:r w:rsidR="001D629D" w:rsidRPr="001D629D">
        <w:t>ы «Военная ипотека» и «</w:t>
      </w:r>
      <w:r w:rsidR="001D629D">
        <w:t>П</w:t>
      </w:r>
      <w:r w:rsidR="001D629D" w:rsidRPr="001D629D">
        <w:t xml:space="preserve">олучение жилищного сертификата для </w:t>
      </w:r>
      <w:r w:rsidR="001D629D" w:rsidRPr="00130CEF">
        <w:t>военнослужащих»</w:t>
      </w:r>
      <w:r w:rsidRPr="00130CEF">
        <w:t>). В 201</w:t>
      </w:r>
      <w:r w:rsidR="00130CEF" w:rsidRPr="00130CEF">
        <w:t>7</w:t>
      </w:r>
      <w:r w:rsidRPr="00130CEF">
        <w:t xml:space="preserve"> году миграция составляла – - </w:t>
      </w:r>
      <w:r w:rsidR="00130CEF" w:rsidRPr="00130CEF">
        <w:t>570</w:t>
      </w:r>
      <w:r w:rsidRPr="00130CEF">
        <w:t xml:space="preserve"> человек, в 201</w:t>
      </w:r>
      <w:r w:rsidR="00130CEF">
        <w:t>8</w:t>
      </w:r>
      <w:r w:rsidRPr="00130CEF">
        <w:t xml:space="preserve"> году – - </w:t>
      </w:r>
      <w:r w:rsidR="00130CEF" w:rsidRPr="00130CEF">
        <w:t>1018</w:t>
      </w:r>
      <w:r w:rsidRPr="00130CEF">
        <w:t xml:space="preserve"> человек.</w:t>
      </w:r>
    </w:p>
    <w:p w:rsidR="00130CEF" w:rsidRPr="00130CEF" w:rsidRDefault="00130CEF" w:rsidP="00130CEF">
      <w:pPr>
        <w:ind w:firstLine="709"/>
        <w:jc w:val="both"/>
      </w:pPr>
      <w:r w:rsidRPr="00130CEF">
        <w:t xml:space="preserve">По прогнозу в </w:t>
      </w:r>
      <w:r w:rsidR="008750BC">
        <w:t xml:space="preserve">Ахтубинском </w:t>
      </w:r>
      <w:r w:rsidRPr="00130CEF">
        <w:t>районе по прежнему будет уменьшаться постоянное население:</w:t>
      </w:r>
    </w:p>
    <w:p w:rsidR="00130CEF" w:rsidRPr="00130CEF" w:rsidRDefault="00130CEF" w:rsidP="00130CEF">
      <w:pPr>
        <w:ind w:firstLine="709"/>
        <w:jc w:val="both"/>
      </w:pPr>
      <w:r w:rsidRPr="00130CEF">
        <w:t>- рождаемость: 2019 год – 625 человек, 2020 – 650, 2021 – 615;</w:t>
      </w:r>
    </w:p>
    <w:p w:rsidR="00130CEF" w:rsidRPr="00130CEF" w:rsidRDefault="00130CEF" w:rsidP="00130CEF">
      <w:pPr>
        <w:ind w:firstLine="709"/>
        <w:jc w:val="both"/>
      </w:pPr>
      <w:r w:rsidRPr="00130CEF">
        <w:lastRenderedPageBreak/>
        <w:t>- смертность: 2019 год – 864, 2020год – 829 человек; 2021 год – 765;</w:t>
      </w:r>
    </w:p>
    <w:p w:rsidR="00130CEF" w:rsidRPr="00130CEF" w:rsidRDefault="00130CEF" w:rsidP="00130CEF">
      <w:pPr>
        <w:ind w:firstLine="709"/>
        <w:jc w:val="both"/>
      </w:pPr>
      <w:r w:rsidRPr="00130CEF">
        <w:t>- миграция: 2019 год - -752, 2020 - -655, 2021 - - 553.</w:t>
      </w:r>
    </w:p>
    <w:p w:rsidR="00BD51F7" w:rsidRPr="00130CEF" w:rsidRDefault="00BD51F7" w:rsidP="000305B7">
      <w:pPr>
        <w:ind w:firstLine="709"/>
        <w:jc w:val="both"/>
      </w:pPr>
      <w:r w:rsidRPr="00130CEF">
        <w:t>Замедлению темпов уменьшения населения будет способствовать:</w:t>
      </w:r>
    </w:p>
    <w:p w:rsidR="00BD51F7" w:rsidRPr="00130CEF" w:rsidRDefault="00EC7CA8" w:rsidP="000305B7">
      <w:pPr>
        <w:tabs>
          <w:tab w:val="num" w:pos="0"/>
        </w:tabs>
        <w:ind w:firstLine="709"/>
        <w:jc w:val="both"/>
      </w:pPr>
      <w:r w:rsidRPr="00130CEF">
        <w:t>1</w:t>
      </w:r>
      <w:r w:rsidR="00BD51F7" w:rsidRPr="00130CEF">
        <w:t>. приглашение для работы в бюджетных учреждениях; молодых специалистов на вакантные места;</w:t>
      </w:r>
    </w:p>
    <w:p w:rsidR="00BD51F7" w:rsidRPr="00130CEF" w:rsidRDefault="00EC7CA8" w:rsidP="000305B7">
      <w:pPr>
        <w:tabs>
          <w:tab w:val="num" w:pos="0"/>
        </w:tabs>
        <w:ind w:firstLine="709"/>
        <w:jc w:val="both"/>
      </w:pPr>
      <w:r w:rsidRPr="00130CEF">
        <w:t>2</w:t>
      </w:r>
      <w:r w:rsidR="00BD51F7" w:rsidRPr="00130CEF">
        <w:t>. целевое обучение в высших учебных заведениях для муниципальных учреждений;</w:t>
      </w:r>
    </w:p>
    <w:p w:rsidR="00BD51F7" w:rsidRPr="00130CEF" w:rsidRDefault="00EC7CA8" w:rsidP="000305B7">
      <w:pPr>
        <w:tabs>
          <w:tab w:val="num" w:pos="0"/>
        </w:tabs>
        <w:ind w:firstLine="709"/>
        <w:jc w:val="both"/>
      </w:pPr>
      <w:r w:rsidRPr="00130CEF">
        <w:t>3</w:t>
      </w:r>
      <w:r w:rsidR="00BD51F7" w:rsidRPr="00130CEF">
        <w:t>. содействие развитию малого и среднего бизнеса, поддержка начинающих предпринимателей зарегистрированных на территории Ахтубинского района;</w:t>
      </w:r>
    </w:p>
    <w:p w:rsidR="00BD51F7" w:rsidRPr="00130CEF" w:rsidRDefault="00EC7CA8" w:rsidP="000305B7">
      <w:pPr>
        <w:tabs>
          <w:tab w:val="num" w:pos="0"/>
        </w:tabs>
        <w:ind w:firstLine="709"/>
        <w:jc w:val="both"/>
      </w:pPr>
      <w:r w:rsidRPr="00130CEF">
        <w:t>4</w:t>
      </w:r>
      <w:r w:rsidR="00BD51F7" w:rsidRPr="00130CEF">
        <w:t>. обеспечение информацией работодателей и население о ситуации на рынке труда, возможностях трудоустройства, открытия собственного дела, профессиональной подготовке и т. д.</w:t>
      </w:r>
    </w:p>
    <w:p w:rsidR="00BD51F7" w:rsidRPr="008750BC" w:rsidRDefault="00BD51F7" w:rsidP="000305B7">
      <w:pPr>
        <w:ind w:firstLine="709"/>
        <w:jc w:val="both"/>
      </w:pPr>
      <w:r w:rsidRPr="00130CEF">
        <w:t>В результате вышеизложенного планируемая среднегодовая численность постоянного населения составит: в 201</w:t>
      </w:r>
      <w:r w:rsidR="00130CEF" w:rsidRPr="00130CEF">
        <w:t>9</w:t>
      </w:r>
      <w:r w:rsidRPr="00130CEF">
        <w:t xml:space="preserve"> году – </w:t>
      </w:r>
      <w:r w:rsidR="00EC7CA8" w:rsidRPr="00130CEF">
        <w:t>6</w:t>
      </w:r>
      <w:r w:rsidR="00130CEF" w:rsidRPr="00130CEF">
        <w:t>1417</w:t>
      </w:r>
      <w:r w:rsidRPr="00130CEF">
        <w:t xml:space="preserve"> человека; в 20</w:t>
      </w:r>
      <w:r w:rsidR="00130CEF" w:rsidRPr="00130CEF">
        <w:t>20</w:t>
      </w:r>
      <w:r w:rsidRPr="00130CEF">
        <w:t xml:space="preserve"> году – </w:t>
      </w:r>
      <w:r w:rsidR="00130CEF" w:rsidRPr="00130CEF">
        <w:t>60583</w:t>
      </w:r>
      <w:r w:rsidRPr="00130CEF">
        <w:t xml:space="preserve"> человек; в 20</w:t>
      </w:r>
      <w:r w:rsidR="002E7EE1" w:rsidRPr="00130CEF">
        <w:t>2</w:t>
      </w:r>
      <w:r w:rsidR="00130CEF" w:rsidRPr="00130CEF">
        <w:t>1</w:t>
      </w:r>
      <w:r w:rsidRPr="00130CEF">
        <w:t xml:space="preserve"> году – </w:t>
      </w:r>
      <w:r w:rsidR="008750BC">
        <w:t>59880</w:t>
      </w:r>
      <w:r w:rsidR="0018487A" w:rsidRPr="00130CEF">
        <w:t xml:space="preserve"> человек; в 202</w:t>
      </w:r>
      <w:r w:rsidR="00130CEF" w:rsidRPr="00130CEF">
        <w:t>2</w:t>
      </w:r>
      <w:r w:rsidR="0018487A" w:rsidRPr="00130CEF">
        <w:t xml:space="preserve"> году – </w:t>
      </w:r>
      <w:r w:rsidR="008750BC" w:rsidRPr="008750BC">
        <w:t>59275</w:t>
      </w:r>
      <w:r w:rsidR="00E523CB" w:rsidRPr="008750BC">
        <w:t xml:space="preserve"> человек.</w:t>
      </w:r>
    </w:p>
    <w:p w:rsidR="00716038" w:rsidRPr="008750BC" w:rsidRDefault="00716038" w:rsidP="000305B7">
      <w:pPr>
        <w:ind w:firstLine="709"/>
        <w:jc w:val="both"/>
      </w:pPr>
      <w:r w:rsidRPr="008750BC">
        <w:t>Среднесписочная численность работ</w:t>
      </w:r>
      <w:r w:rsidR="008750BC" w:rsidRPr="008750BC">
        <w:t>ающих</w:t>
      </w:r>
      <w:r w:rsidRPr="008750BC">
        <w:t xml:space="preserve"> в районе определена на основе отчетных данных предприятий района (</w:t>
      </w:r>
      <w:r w:rsidR="008750BC" w:rsidRPr="008750BC">
        <w:t xml:space="preserve">по </w:t>
      </w:r>
      <w:r w:rsidRPr="008750BC">
        <w:t>круг</w:t>
      </w:r>
      <w:r w:rsidR="008750BC" w:rsidRPr="008750BC">
        <w:t>у</w:t>
      </w:r>
      <w:r w:rsidRPr="008750BC">
        <w:t xml:space="preserve"> отчитывающихся предприятий). </w:t>
      </w:r>
    </w:p>
    <w:p w:rsidR="00716038" w:rsidRPr="008B622F" w:rsidRDefault="00716038" w:rsidP="000305B7">
      <w:pPr>
        <w:ind w:firstLine="709"/>
        <w:jc w:val="both"/>
      </w:pPr>
      <w:r w:rsidRPr="008B622F">
        <w:t>Среднесписочная численность занятых в экономике в 201</w:t>
      </w:r>
      <w:r w:rsidR="008750BC" w:rsidRPr="008B622F">
        <w:t>8</w:t>
      </w:r>
      <w:r w:rsidRPr="008B622F">
        <w:t xml:space="preserve"> году составила </w:t>
      </w:r>
      <w:r w:rsidR="008750BC" w:rsidRPr="008B622F">
        <w:t>12,08</w:t>
      </w:r>
      <w:r w:rsidRPr="008B622F">
        <w:t xml:space="preserve"> тыс. человек, это </w:t>
      </w:r>
      <w:r w:rsidR="008750BC" w:rsidRPr="008B622F">
        <w:t>больше</w:t>
      </w:r>
      <w:r w:rsidRPr="008B622F">
        <w:t xml:space="preserve"> 201</w:t>
      </w:r>
      <w:r w:rsidR="008750BC" w:rsidRPr="008B622F">
        <w:t>7</w:t>
      </w:r>
      <w:r w:rsidRPr="008B622F">
        <w:t xml:space="preserve"> года на </w:t>
      </w:r>
      <w:r w:rsidR="008B622F" w:rsidRPr="008B622F">
        <w:t>4,1</w:t>
      </w:r>
      <w:r w:rsidRPr="008B622F">
        <w:t xml:space="preserve"> %. </w:t>
      </w:r>
      <w:r w:rsidR="000150EA" w:rsidRPr="008B622F">
        <w:t>Оценка</w:t>
      </w:r>
      <w:r w:rsidRPr="008B622F">
        <w:t xml:space="preserve"> был</w:t>
      </w:r>
      <w:r w:rsidR="000150EA" w:rsidRPr="008B622F">
        <w:t>а</w:t>
      </w:r>
      <w:r w:rsidRPr="008B622F">
        <w:t xml:space="preserve"> исполнен</w:t>
      </w:r>
      <w:r w:rsidR="000150EA" w:rsidRPr="008B622F">
        <w:t>а</w:t>
      </w:r>
      <w:r w:rsidRPr="008B622F">
        <w:t xml:space="preserve"> на </w:t>
      </w:r>
      <w:r w:rsidR="000150EA" w:rsidRPr="008B622F">
        <w:t>9</w:t>
      </w:r>
      <w:r w:rsidR="008B622F" w:rsidRPr="008B622F">
        <w:t>3</w:t>
      </w:r>
      <w:r w:rsidR="000150EA" w:rsidRPr="008B622F">
        <w:t>,</w:t>
      </w:r>
      <w:r w:rsidR="008B622F" w:rsidRPr="008B622F">
        <w:t>1</w:t>
      </w:r>
      <w:r w:rsidRPr="008B622F">
        <w:t xml:space="preserve"> %.</w:t>
      </w:r>
    </w:p>
    <w:p w:rsidR="00716038" w:rsidRPr="008B622F" w:rsidRDefault="00716038" w:rsidP="000305B7">
      <w:pPr>
        <w:ind w:firstLine="709"/>
        <w:jc w:val="both"/>
      </w:pPr>
      <w:r w:rsidRPr="008B622F">
        <w:t>По оценке в 201</w:t>
      </w:r>
      <w:r w:rsidR="008B622F" w:rsidRPr="008B622F">
        <w:t xml:space="preserve">9 </w:t>
      </w:r>
      <w:r w:rsidRPr="008B622F">
        <w:t xml:space="preserve">году численность ожидается </w:t>
      </w:r>
      <w:r w:rsidR="002E7EE1" w:rsidRPr="008B622F">
        <w:t>12,</w:t>
      </w:r>
      <w:r w:rsidR="008B622F" w:rsidRPr="008B622F">
        <w:t>13</w:t>
      </w:r>
      <w:r w:rsidRPr="008B622F">
        <w:t xml:space="preserve"> тыс. человек, это </w:t>
      </w:r>
      <w:r w:rsidR="008B622F" w:rsidRPr="008B622F">
        <w:t>100,4</w:t>
      </w:r>
      <w:r w:rsidRPr="008B622F">
        <w:t xml:space="preserve"> % к факту 201</w:t>
      </w:r>
      <w:r w:rsidR="008B622F" w:rsidRPr="008B622F">
        <w:t>8</w:t>
      </w:r>
      <w:r w:rsidRPr="008B622F">
        <w:t xml:space="preserve"> года, </w:t>
      </w:r>
      <w:r w:rsidR="00520D7D" w:rsidRPr="008B622F">
        <w:t>9</w:t>
      </w:r>
      <w:r w:rsidR="008B622F" w:rsidRPr="008B622F">
        <w:t>4,5</w:t>
      </w:r>
      <w:r w:rsidRPr="008B622F">
        <w:t xml:space="preserve"> % к прогнозу.</w:t>
      </w:r>
    </w:p>
    <w:p w:rsidR="00716038" w:rsidRPr="008B622F" w:rsidRDefault="008B622F" w:rsidP="000305B7">
      <w:pPr>
        <w:ind w:firstLine="709"/>
        <w:jc w:val="both"/>
      </w:pPr>
      <w:r w:rsidRPr="008B622F">
        <w:t>В прогнозируемом периоде 2020</w:t>
      </w:r>
      <w:r w:rsidR="00716038" w:rsidRPr="008B622F">
        <w:t>-20</w:t>
      </w:r>
      <w:r w:rsidRPr="008B622F">
        <w:t>22</w:t>
      </w:r>
      <w:r w:rsidR="00716038" w:rsidRPr="008B622F">
        <w:t xml:space="preserve"> гг. численность работников организаций района </w:t>
      </w:r>
      <w:r w:rsidR="00520D7D" w:rsidRPr="008B622F">
        <w:t xml:space="preserve">расти </w:t>
      </w:r>
      <w:r w:rsidRPr="008B622F">
        <w:t xml:space="preserve">практически </w:t>
      </w:r>
      <w:r w:rsidR="00520D7D" w:rsidRPr="008B622F">
        <w:t xml:space="preserve">не будет, </w:t>
      </w:r>
      <w:r w:rsidR="004F3B38" w:rsidRPr="008B622F">
        <w:t>так как численность населения снижается</w:t>
      </w:r>
      <w:r w:rsidRPr="008B622F">
        <w:t>, но к 2022 году все же достигнет 12,15 тыс. человек</w:t>
      </w:r>
      <w:r w:rsidR="00716038" w:rsidRPr="008B622F">
        <w:t>.</w:t>
      </w:r>
    </w:p>
    <w:p w:rsidR="00716038" w:rsidRPr="00A40C48" w:rsidRDefault="00716038" w:rsidP="000305B7">
      <w:pPr>
        <w:ind w:firstLine="709"/>
        <w:jc w:val="both"/>
      </w:pPr>
      <w:r w:rsidRPr="00A40C48">
        <w:t>В 201</w:t>
      </w:r>
      <w:r w:rsidR="00A40C48" w:rsidRPr="00A40C48">
        <w:t>8</w:t>
      </w:r>
      <w:r w:rsidRPr="00A40C48">
        <w:t xml:space="preserve"> году среднемесячная заработная плата по полному кругу</w:t>
      </w:r>
      <w:r w:rsidR="00A40C48" w:rsidRPr="00A40C48">
        <w:t xml:space="preserve"> отчитывающихся</w:t>
      </w:r>
      <w:r w:rsidRPr="00A40C48">
        <w:t xml:space="preserve"> предприятий района составила </w:t>
      </w:r>
      <w:r w:rsidR="004F3B38" w:rsidRPr="00A40C48">
        <w:t>2</w:t>
      </w:r>
      <w:r w:rsidR="00A40C48" w:rsidRPr="00A40C48">
        <w:t>8</w:t>
      </w:r>
      <w:r w:rsidRPr="00A40C48">
        <w:t xml:space="preserve"> тыс. </w:t>
      </w:r>
      <w:r w:rsidR="00A40C48" w:rsidRPr="00A40C48">
        <w:t>60</w:t>
      </w:r>
      <w:r w:rsidRPr="00A40C48">
        <w:t xml:space="preserve"> рубл</w:t>
      </w:r>
      <w:r w:rsidR="000150EA" w:rsidRPr="00A40C48">
        <w:t>я</w:t>
      </w:r>
      <w:r w:rsidRPr="00A40C48">
        <w:t>, по сравнению с 201</w:t>
      </w:r>
      <w:r w:rsidR="00A40C48" w:rsidRPr="00A40C48">
        <w:t>7</w:t>
      </w:r>
      <w:r w:rsidRPr="00A40C48">
        <w:t xml:space="preserve"> годом </w:t>
      </w:r>
      <w:r w:rsidR="00A40C48" w:rsidRPr="00A40C48">
        <w:t xml:space="preserve">темп </w:t>
      </w:r>
      <w:r w:rsidRPr="00A40C48">
        <w:t>рост</w:t>
      </w:r>
      <w:r w:rsidR="00A40C48" w:rsidRPr="00A40C48">
        <w:t>а</w:t>
      </w:r>
      <w:r w:rsidRPr="00A40C48">
        <w:t xml:space="preserve"> составил </w:t>
      </w:r>
      <w:r w:rsidR="00A40C48" w:rsidRPr="00A40C48">
        <w:t>21,9</w:t>
      </w:r>
      <w:r w:rsidRPr="00A40C48">
        <w:t xml:space="preserve"> %. К оценке 201</w:t>
      </w:r>
      <w:r w:rsidR="00A40C48" w:rsidRPr="00A40C48">
        <w:t>8</w:t>
      </w:r>
      <w:r w:rsidRPr="00A40C48">
        <w:t xml:space="preserve"> года среднемесячная заработная плата </w:t>
      </w:r>
      <w:r w:rsidR="000150EA" w:rsidRPr="00A40C48">
        <w:t>увеличилась</w:t>
      </w:r>
      <w:r w:rsidRPr="00A40C48">
        <w:t xml:space="preserve"> </w:t>
      </w:r>
      <w:r w:rsidR="00A40C48" w:rsidRPr="00A40C48">
        <w:t xml:space="preserve">почти </w:t>
      </w:r>
      <w:r w:rsidRPr="00A40C48">
        <w:t xml:space="preserve">на </w:t>
      </w:r>
      <w:r w:rsidR="004F3B38" w:rsidRPr="00A40C48">
        <w:t>1</w:t>
      </w:r>
      <w:r w:rsidR="00A40C48" w:rsidRPr="00A40C48">
        <w:t>6</w:t>
      </w:r>
      <w:r w:rsidRPr="00A40C48">
        <w:t xml:space="preserve"> %.</w:t>
      </w:r>
    </w:p>
    <w:p w:rsidR="00716038" w:rsidRPr="00253BE0" w:rsidRDefault="00716038" w:rsidP="000305B7">
      <w:pPr>
        <w:ind w:firstLine="709"/>
        <w:jc w:val="both"/>
      </w:pPr>
      <w:r w:rsidRPr="00253BE0">
        <w:t>В 201</w:t>
      </w:r>
      <w:r w:rsidR="00A40C48" w:rsidRPr="00253BE0">
        <w:t>9</w:t>
      </w:r>
      <w:r w:rsidRPr="00253BE0">
        <w:t xml:space="preserve"> году среднемесячная заработная плата работников планируется в размере </w:t>
      </w:r>
      <w:r w:rsidR="00A40C48" w:rsidRPr="00253BE0">
        <w:t>29518,59</w:t>
      </w:r>
      <w:r w:rsidRPr="00253BE0">
        <w:t xml:space="preserve"> рублей, это на </w:t>
      </w:r>
      <w:r w:rsidR="00A40C48" w:rsidRPr="00253BE0">
        <w:t>5,2</w:t>
      </w:r>
      <w:r w:rsidRPr="00253BE0">
        <w:t xml:space="preserve"> % выше 201</w:t>
      </w:r>
      <w:r w:rsidR="00A40C48" w:rsidRPr="00253BE0">
        <w:t>8</w:t>
      </w:r>
      <w:r w:rsidRPr="00253BE0">
        <w:t xml:space="preserve"> года. К прогнозу это составит </w:t>
      </w:r>
      <w:r w:rsidR="00253BE0" w:rsidRPr="00253BE0">
        <w:t>115,5</w:t>
      </w:r>
      <w:r w:rsidR="004F3B38" w:rsidRPr="00253BE0">
        <w:t xml:space="preserve"> </w:t>
      </w:r>
      <w:r w:rsidRPr="00253BE0">
        <w:t xml:space="preserve">%. </w:t>
      </w:r>
    </w:p>
    <w:p w:rsidR="00716038" w:rsidRPr="00154DAD" w:rsidRDefault="00716038" w:rsidP="000305B7">
      <w:pPr>
        <w:ind w:firstLine="709"/>
        <w:jc w:val="both"/>
      </w:pPr>
      <w:r w:rsidRPr="00154DAD">
        <w:t>Рост оплаты труда, в свою очередь, будет обеспечен, прежде всего, за счет дальнейшей реализации мероприятий по повышению заработной платы работникам бюджетной сферы, в рамках реализации «майских» Указов Президента Российской Федерации, по ужесточению контроля за своевременной выплатой заработной платы, а также прогнозируемого уровня инфляции.</w:t>
      </w:r>
    </w:p>
    <w:p w:rsidR="00716038" w:rsidRPr="008E3CE4" w:rsidRDefault="00716038" w:rsidP="000305B7">
      <w:pPr>
        <w:ind w:firstLine="709"/>
        <w:jc w:val="both"/>
      </w:pPr>
      <w:r w:rsidRPr="00253BE0">
        <w:t>В прогнозируемом периоде среднемесячная заработная плата будет расти и в 20</w:t>
      </w:r>
      <w:r w:rsidR="000150EA" w:rsidRPr="00253BE0">
        <w:t>2</w:t>
      </w:r>
      <w:r w:rsidR="00253BE0" w:rsidRPr="00253BE0">
        <w:t>2</w:t>
      </w:r>
      <w:r w:rsidRPr="00253BE0">
        <w:t xml:space="preserve"> году достигнет </w:t>
      </w:r>
      <w:r w:rsidR="00253BE0" w:rsidRPr="00253BE0">
        <w:t>34008,93</w:t>
      </w:r>
      <w:r w:rsidRPr="00253BE0">
        <w:t xml:space="preserve"> рублей или возрастет по сравнению с </w:t>
      </w:r>
      <w:r w:rsidRPr="008E3CE4">
        <w:t>201</w:t>
      </w:r>
      <w:r w:rsidR="00253BE0" w:rsidRPr="008E3CE4">
        <w:t>8</w:t>
      </w:r>
      <w:r w:rsidRPr="008E3CE4">
        <w:t xml:space="preserve"> годом на </w:t>
      </w:r>
      <w:r w:rsidR="00253BE0" w:rsidRPr="008E3CE4">
        <w:t>21,2</w:t>
      </w:r>
      <w:r w:rsidRPr="008E3CE4">
        <w:t xml:space="preserve"> %.</w:t>
      </w:r>
    </w:p>
    <w:p w:rsidR="00716038" w:rsidRPr="008E3CE4" w:rsidRDefault="00716038" w:rsidP="000305B7">
      <w:pPr>
        <w:ind w:firstLine="709"/>
        <w:jc w:val="both"/>
      </w:pPr>
      <w:r w:rsidRPr="008E3CE4">
        <w:lastRenderedPageBreak/>
        <w:t>Исходя из планируемого уровня заработной платы и численности</w:t>
      </w:r>
      <w:r w:rsidR="00941EEC" w:rsidRPr="008E3CE4">
        <w:t>,</w:t>
      </w:r>
      <w:r w:rsidRPr="008E3CE4">
        <w:t xml:space="preserve"> занятых в целом по району, фонд оплаты труда составит в 201</w:t>
      </w:r>
      <w:r w:rsidR="008E3CE4" w:rsidRPr="008E3CE4">
        <w:t>9</w:t>
      </w:r>
      <w:r w:rsidRPr="008E3CE4">
        <w:t xml:space="preserve"> году </w:t>
      </w:r>
      <w:r w:rsidR="008E3CE4" w:rsidRPr="008E3CE4">
        <w:t>4296,73</w:t>
      </w:r>
      <w:r w:rsidR="000150EA" w:rsidRPr="008E3CE4">
        <w:t xml:space="preserve"> </w:t>
      </w:r>
      <w:r w:rsidRPr="008E3CE4">
        <w:t xml:space="preserve"> млн. рублей, а в 20</w:t>
      </w:r>
      <w:r w:rsidR="000150EA" w:rsidRPr="008E3CE4">
        <w:t>2</w:t>
      </w:r>
      <w:r w:rsidR="008E3CE4" w:rsidRPr="008E3CE4">
        <w:t>2</w:t>
      </w:r>
      <w:r w:rsidRPr="008E3CE4">
        <w:t xml:space="preserve"> – </w:t>
      </w:r>
      <w:r w:rsidR="008E3CE4" w:rsidRPr="008E3CE4">
        <w:t>4958,50</w:t>
      </w:r>
      <w:r w:rsidRPr="008E3CE4">
        <w:t>млн. руб.</w:t>
      </w:r>
    </w:p>
    <w:p w:rsidR="0026233C" w:rsidRPr="00382885" w:rsidRDefault="00716038" w:rsidP="000305B7">
      <w:pPr>
        <w:ind w:firstLine="709"/>
        <w:jc w:val="both"/>
      </w:pPr>
      <w:r w:rsidRPr="008E3CE4">
        <w:t>Причиной изменения прогнозных значений является то, что процессы,</w:t>
      </w:r>
      <w:r w:rsidRPr="00382885">
        <w:t xml:space="preserve"> происходящие в экономике района, носят динамичный характер и постоянно изменяются под влиянием внутренних и внешних факторов. Данное обстоятельство находит отражение в изменениях количественных и качественных прогнозных оценок развития экономики района.</w:t>
      </w:r>
    </w:p>
    <w:p w:rsidR="009B5DB8" w:rsidRPr="00382885" w:rsidRDefault="00C638EE" w:rsidP="000305B7">
      <w:pPr>
        <w:ind w:firstLine="709"/>
        <w:jc w:val="both"/>
      </w:pPr>
      <w:r w:rsidRPr="00382885">
        <w:t xml:space="preserve">Одной из главных социально значимых целей развития общества является обеспечение благополучия и достойной жизни граждан. Одним из основных источников денежных доходов населения </w:t>
      </w:r>
      <w:r w:rsidR="00AB7A98" w:rsidRPr="00382885">
        <w:t>МО «Ахтубинский район»</w:t>
      </w:r>
      <w:r w:rsidRPr="00382885">
        <w:t xml:space="preserve"> является заработная плата. В сфере оплаты труда продолжается рост номинальной и реальной заработной платы. Предполагается дальнейшее повышение доходов и развитие платежеспособного потребительского спроса</w:t>
      </w:r>
      <w:r w:rsidR="00EC6E3A" w:rsidRPr="00382885">
        <w:t>.</w:t>
      </w:r>
      <w:r w:rsidRPr="00382885">
        <w:t xml:space="preserve"> </w:t>
      </w:r>
    </w:p>
    <w:p w:rsidR="00301781" w:rsidRPr="00757945" w:rsidRDefault="00C638EE" w:rsidP="000305B7">
      <w:pPr>
        <w:ind w:firstLine="709"/>
        <w:jc w:val="both"/>
      </w:pPr>
      <w:r w:rsidRPr="00757945">
        <w:t xml:space="preserve">Среднемесячная номинальная начисленная заработная плата работников </w:t>
      </w:r>
      <w:r w:rsidR="00AB7A98" w:rsidRPr="00757945">
        <w:t>по полному кругу</w:t>
      </w:r>
      <w:r w:rsidRPr="00757945">
        <w:t xml:space="preserve"> предприятий района за 201</w:t>
      </w:r>
      <w:r w:rsidR="005A121C" w:rsidRPr="00757945">
        <w:t>8</w:t>
      </w:r>
      <w:r w:rsidRPr="00757945">
        <w:t xml:space="preserve"> год составила </w:t>
      </w:r>
      <w:r w:rsidR="005A121C" w:rsidRPr="00757945">
        <w:t>28059,5</w:t>
      </w:r>
      <w:r w:rsidRPr="00757945">
        <w:t xml:space="preserve"> рублей или </w:t>
      </w:r>
      <w:r w:rsidR="00DC005B" w:rsidRPr="00757945">
        <w:t>1</w:t>
      </w:r>
      <w:r w:rsidR="005A121C" w:rsidRPr="00757945">
        <w:t>21,9</w:t>
      </w:r>
      <w:r w:rsidR="00AB7A98" w:rsidRPr="00757945">
        <w:t xml:space="preserve"> </w:t>
      </w:r>
      <w:r w:rsidRPr="00757945">
        <w:t>% к уровню 201</w:t>
      </w:r>
      <w:r w:rsidR="005A121C" w:rsidRPr="00757945">
        <w:t>7</w:t>
      </w:r>
      <w:r w:rsidRPr="00757945">
        <w:t xml:space="preserve"> года. Наиболее высокий уровень среднемесячной зара</w:t>
      </w:r>
      <w:r w:rsidR="00EC6E3A" w:rsidRPr="00757945">
        <w:t xml:space="preserve">ботной платы </w:t>
      </w:r>
      <w:r w:rsidR="004A4BDB" w:rsidRPr="00757945">
        <w:t xml:space="preserve">по организациям, не относящимся к субъектам малого предпринимательства </w:t>
      </w:r>
      <w:r w:rsidR="00EC6E3A" w:rsidRPr="00757945">
        <w:t>слож</w:t>
      </w:r>
      <w:r w:rsidR="004A4BDB" w:rsidRPr="00757945">
        <w:t xml:space="preserve">ился в </w:t>
      </w:r>
      <w:r w:rsidR="00757945" w:rsidRPr="00757945">
        <w:t>профессиональной, научной, технической деятельности 54393</w:t>
      </w:r>
      <w:r w:rsidR="004A4BDB" w:rsidRPr="00757945">
        <w:t xml:space="preserve"> рубл</w:t>
      </w:r>
      <w:r w:rsidR="00757945" w:rsidRPr="00757945">
        <w:t>я</w:t>
      </w:r>
      <w:r w:rsidR="004A4BDB" w:rsidRPr="00757945">
        <w:t xml:space="preserve"> (в </w:t>
      </w:r>
      <w:r w:rsidR="00757945" w:rsidRPr="00757945">
        <w:t>2</w:t>
      </w:r>
      <w:r w:rsidRPr="00757945">
        <w:t xml:space="preserve"> раза выше средней по району). Сохраняется высокая межотраслевая дифференциация заработной платы. </w:t>
      </w:r>
    </w:p>
    <w:p w:rsidR="00301781" w:rsidRPr="0017248E" w:rsidRDefault="00C638EE" w:rsidP="000305B7">
      <w:pPr>
        <w:ind w:firstLine="709"/>
        <w:jc w:val="both"/>
      </w:pPr>
      <w:r w:rsidRPr="0017248E">
        <w:t>Коэффициент дифференциации (соотношение между максимальным и минимальным размером среднемесячной начисленной заработной платы) за 201</w:t>
      </w:r>
      <w:r w:rsidR="00757945" w:rsidRPr="0017248E">
        <w:t>8</w:t>
      </w:r>
      <w:r w:rsidRPr="0017248E">
        <w:t xml:space="preserve"> год по крупным и ср</w:t>
      </w:r>
      <w:r w:rsidR="004A4BDB" w:rsidRPr="0017248E">
        <w:t xml:space="preserve">едним предприятиям составил </w:t>
      </w:r>
      <w:r w:rsidR="0017248E" w:rsidRPr="0017248E">
        <w:t>3,4</w:t>
      </w:r>
      <w:r w:rsidRPr="0017248E">
        <w:t>. В прогнозе до 202</w:t>
      </w:r>
      <w:r w:rsidR="0017248E" w:rsidRPr="0017248E">
        <w:t>2</w:t>
      </w:r>
      <w:r w:rsidRPr="0017248E">
        <w:t xml:space="preserve"> года предусмотрен рост номинальной и реальной заработной платы. </w:t>
      </w:r>
    </w:p>
    <w:p w:rsidR="002A3588" w:rsidRPr="0017248E" w:rsidRDefault="00C638EE" w:rsidP="000305B7">
      <w:pPr>
        <w:ind w:firstLine="709"/>
        <w:jc w:val="both"/>
      </w:pPr>
      <w:r w:rsidRPr="0017248E">
        <w:t>Особое внимание уделяется совершенствованию и повышению оплаты труда работников бюджетной сферы, внедрению новых принципов организации заработной платы. Для решения общегосударственной задачи по повышению уровня жизни населения будет продолжена работа с работодателями-организациями и индивидуальными предпринимателями по повышению уровня заработной платы и ее легализ</w:t>
      </w:r>
      <w:r w:rsidR="002A3588" w:rsidRPr="0017248E">
        <w:t xml:space="preserve">ации в рамках работы межведомственной комиссии по вопросам рассмотрения деятельности предприятий, допустивших снижение уплаты НДФЛ и </w:t>
      </w:r>
      <w:r w:rsidR="0017248E" w:rsidRPr="0017248E">
        <w:t>комиссии</w:t>
      </w:r>
      <w:r w:rsidRPr="0017248E">
        <w:t xml:space="preserve"> по </w:t>
      </w:r>
      <w:r w:rsidR="0017248E" w:rsidRPr="0017248E">
        <w:t xml:space="preserve">адаптации </w:t>
      </w:r>
      <w:r w:rsidRPr="0017248E">
        <w:t>неформально</w:t>
      </w:r>
      <w:r w:rsidR="0017248E" w:rsidRPr="0017248E">
        <w:t>го рынка труда и борьбе с нарушениями трудовых прав работников</w:t>
      </w:r>
      <w:r w:rsidRPr="0017248E">
        <w:t xml:space="preserve">. </w:t>
      </w:r>
    </w:p>
    <w:p w:rsidR="00716038" w:rsidRPr="00FA0520" w:rsidRDefault="00716038" w:rsidP="000305B7">
      <w:pPr>
        <w:ind w:firstLine="709"/>
        <w:jc w:val="both"/>
        <w:rPr>
          <w:highlight w:val="yellow"/>
        </w:rPr>
      </w:pPr>
    </w:p>
    <w:p w:rsidR="00A101EA" w:rsidRPr="00A101EA" w:rsidRDefault="00A101EA" w:rsidP="00A101EA">
      <w:pPr>
        <w:ind w:firstLine="709"/>
        <w:rPr>
          <w:b/>
        </w:rPr>
      </w:pPr>
      <w:r w:rsidRPr="00A101EA">
        <w:rPr>
          <w:b/>
        </w:rPr>
        <w:t xml:space="preserve">                            </w:t>
      </w:r>
      <w:r w:rsidRPr="00A101EA">
        <w:rPr>
          <w:b/>
        </w:rPr>
        <w:t>Развитие социальной сферы</w:t>
      </w:r>
    </w:p>
    <w:p w:rsidR="00A101EA" w:rsidRPr="00A101EA" w:rsidRDefault="00A101EA" w:rsidP="00A101EA">
      <w:pPr>
        <w:ind w:firstLine="709"/>
        <w:jc w:val="both"/>
        <w:rPr>
          <w:shd w:val="clear" w:color="auto" w:fill="FFFFFF"/>
        </w:rPr>
      </w:pPr>
      <w:r w:rsidRPr="00A101EA">
        <w:rPr>
          <w:shd w:val="clear" w:color="auto" w:fill="FFFFFF"/>
        </w:rPr>
        <w:t xml:space="preserve">Развитие материально-технической базы учреждений социально-культурной сферы района осуществляется за счет средств бюджета района, государственной поддержки из федерального, областного бюджетов и внебюджетных источников. Прогноз развития отраслей социальной сферы на 2020-2022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оказанием адресной и </w:t>
      </w:r>
      <w:r w:rsidRPr="00A101EA">
        <w:rPr>
          <w:shd w:val="clear" w:color="auto" w:fill="FFFFFF"/>
        </w:rPr>
        <w:lastRenderedPageBreak/>
        <w:t xml:space="preserve">дифференцированной поддержки малообеспеченным категориям граждан. Обеспечение доступности населения к гарантированному объему социальных услуг будет сочетаться с повышением качества услуг и повышением эффективности использования бюджетных средств. </w:t>
      </w:r>
    </w:p>
    <w:p w:rsidR="00A101EA" w:rsidRPr="00A101EA" w:rsidRDefault="00A101EA" w:rsidP="00A101EA">
      <w:pPr>
        <w:ind w:firstLine="709"/>
        <w:rPr>
          <w:b/>
        </w:rPr>
      </w:pPr>
    </w:p>
    <w:p w:rsidR="00A101EA" w:rsidRPr="00A101EA" w:rsidRDefault="00A101EA" w:rsidP="00A101EA">
      <w:pPr>
        <w:ind w:firstLine="709"/>
        <w:rPr>
          <w:b/>
        </w:rPr>
      </w:pPr>
    </w:p>
    <w:p w:rsidR="00A101EA" w:rsidRPr="00A101EA" w:rsidRDefault="00A101EA" w:rsidP="00A101EA">
      <w:pPr>
        <w:ind w:firstLine="709"/>
        <w:jc w:val="center"/>
        <w:rPr>
          <w:b/>
          <w:color w:val="000000" w:themeColor="text1"/>
        </w:rPr>
      </w:pPr>
      <w:r w:rsidRPr="00A101EA">
        <w:rPr>
          <w:b/>
          <w:color w:val="000000" w:themeColor="text1"/>
        </w:rPr>
        <w:t>Образование.</w:t>
      </w:r>
    </w:p>
    <w:p w:rsidR="00A101EA" w:rsidRPr="00A101EA" w:rsidRDefault="00A101EA" w:rsidP="00A101EA">
      <w:pPr>
        <w:ind w:firstLine="709"/>
        <w:jc w:val="both"/>
      </w:pPr>
      <w:r w:rsidRPr="00A101EA">
        <w:t>Основными направлениями развития системы образования на среднесрочный период являются обеспечение государственных гарантий доступности качественного образования; повышение качества общего и дополнительного образования; переход на ФГОС основного общего образования; повышение эффективности кадрового обеспечения образования; информатизация образовательного пространства; создание безопасного образовательного пространства; повышение эффективности управления образованием.</w:t>
      </w:r>
    </w:p>
    <w:p w:rsidR="00A101EA" w:rsidRPr="00A101EA" w:rsidRDefault="00A101EA" w:rsidP="00A101EA">
      <w:pPr>
        <w:ind w:firstLine="709"/>
        <w:jc w:val="both"/>
        <w:rPr>
          <w:color w:val="000000" w:themeColor="text1"/>
        </w:rPr>
      </w:pPr>
      <w:r w:rsidRPr="00A101EA">
        <w:rPr>
          <w:color w:val="000000" w:themeColor="text1"/>
        </w:rPr>
        <w:t>Деятельность муниципальной системы образования в среднесрочной перспективе будет направлена на создание условий, способствующих повышению качества образования, укреплению здоровья детей, повышению безопасности их жизнедеятельности, духовно-нравственному и патриотическому воспитанию личности.  Будут продолжены системные изменения в сфере образования, направленные на обеспечение его соответствия требованиям развивающейся экономики и запросам общества. В основу развития системы образования будут положены принципы, реализованные в приоритетном национальном проекте «Образование».</w:t>
      </w:r>
    </w:p>
    <w:p w:rsidR="00A101EA" w:rsidRPr="00A101EA" w:rsidRDefault="00A101EA" w:rsidP="00A101EA">
      <w:pPr>
        <w:ind w:firstLine="709"/>
        <w:jc w:val="both"/>
        <w:rPr>
          <w:color w:val="000000" w:themeColor="text1"/>
        </w:rPr>
      </w:pPr>
    </w:p>
    <w:p w:rsidR="00A101EA" w:rsidRPr="00A101EA" w:rsidRDefault="00A101EA" w:rsidP="00A101EA">
      <w:pPr>
        <w:ind w:firstLine="709"/>
        <w:jc w:val="center"/>
        <w:rPr>
          <w:b/>
        </w:rPr>
      </w:pPr>
      <w:r w:rsidRPr="00A101EA">
        <w:rPr>
          <w:b/>
        </w:rPr>
        <w:t>Дошкольное образование</w:t>
      </w:r>
    </w:p>
    <w:p w:rsidR="00A101EA" w:rsidRPr="00A101EA" w:rsidRDefault="00A101EA" w:rsidP="00A101EA">
      <w:pPr>
        <w:pStyle w:val="12"/>
        <w:spacing w:after="0" w:line="240" w:lineRule="auto"/>
        <w:ind w:left="0" w:firstLine="720"/>
        <w:jc w:val="both"/>
        <w:rPr>
          <w:rFonts w:ascii="Times New Roman" w:hAnsi="Times New Roman"/>
          <w:sz w:val="28"/>
          <w:szCs w:val="28"/>
        </w:rPr>
      </w:pPr>
      <w:r w:rsidRPr="00A101EA">
        <w:rPr>
          <w:rFonts w:ascii="Times New Roman" w:hAnsi="Times New Roman"/>
          <w:sz w:val="28"/>
          <w:szCs w:val="28"/>
        </w:rPr>
        <w:t xml:space="preserve">Система дошкольного образования Ахтубинского района представляет собой вариативную сеть образовательных учреждений. </w:t>
      </w:r>
    </w:p>
    <w:p w:rsidR="00A101EA" w:rsidRPr="00A101EA" w:rsidRDefault="00A101EA" w:rsidP="00A101EA">
      <w:pPr>
        <w:pStyle w:val="12"/>
        <w:spacing w:after="0" w:line="240" w:lineRule="auto"/>
        <w:ind w:left="0" w:firstLine="720"/>
        <w:jc w:val="both"/>
        <w:rPr>
          <w:rFonts w:ascii="Times New Roman" w:hAnsi="Times New Roman"/>
          <w:b/>
          <w:sz w:val="28"/>
          <w:szCs w:val="28"/>
        </w:rPr>
      </w:pPr>
      <w:r w:rsidRPr="00A101EA">
        <w:rPr>
          <w:rFonts w:ascii="Times New Roman" w:hAnsi="Times New Roman"/>
          <w:sz w:val="28"/>
          <w:szCs w:val="28"/>
        </w:rPr>
        <w:t>Основную общеобразовательную программу дошкольного образования на 1 января 2019 года реализовывали 18 дошкольных образовательных учреждений (детских садов) и 13 общеобразовательных учреждений, реализующие программу дошкольного образования.</w:t>
      </w:r>
    </w:p>
    <w:p w:rsidR="00A101EA" w:rsidRPr="00A101EA" w:rsidRDefault="00A101EA" w:rsidP="00A101EA">
      <w:pPr>
        <w:ind w:firstLine="720"/>
        <w:jc w:val="both"/>
      </w:pPr>
      <w:r w:rsidRPr="00A101EA">
        <w:t xml:space="preserve">По итогам 2018 года услугами дошкольного образования охвачено 3370 ребенка в возрасте с 1,5 до 7 лет, что составляет 56,96 % от общей численности детей дошкольного возраста, проживающих в районе и на 50 детей больше  по сравнению с 2017 годом.  </w:t>
      </w:r>
    </w:p>
    <w:p w:rsidR="00A101EA" w:rsidRPr="00A101EA" w:rsidRDefault="00A101EA" w:rsidP="00A101EA">
      <w:pPr>
        <w:ind w:firstLine="709"/>
        <w:jc w:val="both"/>
      </w:pPr>
      <w:r w:rsidRPr="00A101EA">
        <w:t xml:space="preserve">Численность детей, состоящих на учете для определения в дошкольные образовательные учреждения, составляет 226детей (1-6 лет), что составляет 4,6% в общей численности детей в возрасте 1-6 лет. </w:t>
      </w:r>
    </w:p>
    <w:p w:rsidR="00A101EA" w:rsidRPr="00A101EA" w:rsidRDefault="00A101EA" w:rsidP="00A101EA">
      <w:pPr>
        <w:shd w:val="clear" w:color="auto" w:fill="FFFFFF"/>
        <w:ind w:firstLine="720"/>
        <w:jc w:val="both"/>
      </w:pPr>
      <w:r w:rsidRPr="00A101EA">
        <w:t>В образовательных учреждениях, реализующих программу дошкольного образования в отчетном году функционировало 161 группа, которые посещали 660 детей раннего возраста (с 1,5 до 3 лет) и 2710 воспитанник дошкольного возраста (с 3 до 7 лет).</w:t>
      </w:r>
    </w:p>
    <w:p w:rsidR="00A101EA" w:rsidRPr="00A101EA" w:rsidRDefault="00A101EA" w:rsidP="00A101EA">
      <w:pPr>
        <w:shd w:val="clear" w:color="auto" w:fill="FFFFFF"/>
        <w:ind w:firstLine="720"/>
        <w:jc w:val="both"/>
      </w:pPr>
      <w:r w:rsidRPr="00A101EA">
        <w:lastRenderedPageBreak/>
        <w:t xml:space="preserve">На базе дошкольных образовательных учреждений в 26 группах комбинированной направленности осваивали адаптированные образовательные программы 120 детей с ограниченными возможностями здоровья, из них – 12 воспитанников - дети-инвалиды. По адаптированной программе для детей с тяжелыми нарушениями речи в 2018-2019 учебном году обучается  107детей,  10  детей  - с нарушением зрения. </w:t>
      </w:r>
    </w:p>
    <w:p w:rsidR="00A101EA" w:rsidRPr="00A101EA" w:rsidRDefault="00A101EA" w:rsidP="00A101EA">
      <w:pPr>
        <w:ind w:firstLine="709"/>
        <w:jc w:val="both"/>
      </w:pPr>
      <w:r w:rsidRPr="00A101EA">
        <w:t>Доля детей в возрасте 1 - 6 лет, получающих дошкольную образовательную услугу и услугу по содержанию в муниципальных образовательных учреждениях, в общей численности детей в возрасте 1 – 6 лет в 2018 году составила 64%.  К 2021 году этот показатель планируется увеличить до 69,0 %</w:t>
      </w:r>
    </w:p>
    <w:p w:rsidR="00A101EA" w:rsidRPr="00A101EA" w:rsidRDefault="00A101EA" w:rsidP="00A101EA">
      <w:pPr>
        <w:ind w:firstLine="709"/>
        <w:jc w:val="both"/>
        <w:rPr>
          <w:color w:val="000000"/>
        </w:rPr>
      </w:pPr>
      <w:r w:rsidRPr="00A101EA">
        <w:t>Численность детей, состоящих на учете для определения в дошкольные образовательные учреждения, составляет 217 человек (1-6 лет), что составляет 4,44% в общей численности детей в возрасте 1-6 лет. По сравнению с 2017 годом данный показатель уменьшен на 3,43 % . Увеличение данного показателя связано с популяризацией деятельности Портала Госуслуг (постановка на учет в ДОУ), среди родителей (законных представителей) воспитанников. Так же в связи с увеличением количества детей, поставленных на учет для зачисления в ДОУ на 2019 - 2021 годы (отложенный спрос).</w:t>
      </w:r>
    </w:p>
    <w:p w:rsidR="00A101EA" w:rsidRPr="00A101EA" w:rsidRDefault="00A101EA" w:rsidP="00A101EA">
      <w:pPr>
        <w:ind w:firstLine="567"/>
        <w:jc w:val="both"/>
        <w:rPr>
          <w:i/>
        </w:rPr>
      </w:pPr>
      <w:r w:rsidRPr="00A101EA">
        <w:t xml:space="preserve">Полностью решена проблема очередности в дошкольные учреждения детей в возрасте от 3 до 7 лет. </w:t>
      </w:r>
    </w:p>
    <w:p w:rsidR="00A101EA" w:rsidRPr="00A101EA" w:rsidRDefault="00A101EA" w:rsidP="00A101EA">
      <w:pPr>
        <w:ind w:firstLine="709"/>
        <w:jc w:val="both"/>
      </w:pPr>
      <w:r w:rsidRPr="00A101EA">
        <w:t xml:space="preserve">Численность детей, состоящих на учете для определения в дошкольные образовательные учреждения, составляет 217 детей (1-6 лет), что составляет 4,44% в общей численности детей в возрасте 1-6 лет. </w:t>
      </w:r>
    </w:p>
    <w:p w:rsidR="00A101EA" w:rsidRPr="00A101EA" w:rsidRDefault="00A101EA" w:rsidP="00A101EA">
      <w:pPr>
        <w:ind w:firstLine="709"/>
        <w:jc w:val="both"/>
      </w:pPr>
      <w:r w:rsidRPr="00A101EA">
        <w:t>Доля детей в возрасте 1-6 лет, получающих дошкольную образовательную услугу и услугу по содержанию в муниципальных образовательных учреждениях, в общей численности детей в возрасте 1-6 лет увеличен на 4,87% в связи с изменением демографической ситуации и с популяризацией деятельности Портала Госуслуг (постановка на учет в ДОУ), среди родителей (законных представителей) воспитанников. Так же в связи с увеличением количества детей, поставленных на учет для зачисления в ДОУ на 2019г, 2020г, 2021г (отложенный спрос).</w:t>
      </w:r>
    </w:p>
    <w:p w:rsidR="00A101EA" w:rsidRPr="00A101EA" w:rsidRDefault="00A101EA" w:rsidP="00A101EA">
      <w:pPr>
        <w:ind w:firstLine="709"/>
        <w:jc w:val="both"/>
      </w:pPr>
      <w:r w:rsidRPr="00A101EA">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2018 году, составила 16,67% (требует ремонта здание МБДОУ Детский сад №2, МБДОУ Детский сад №10 и здание МБДОУ Детский сад №5, согласно отчету 85-К за 2018 год).  </w:t>
      </w:r>
    </w:p>
    <w:p w:rsidR="00A101EA" w:rsidRPr="00A101EA" w:rsidRDefault="00A101EA" w:rsidP="00A101EA">
      <w:pPr>
        <w:ind w:firstLine="709"/>
        <w:jc w:val="center"/>
        <w:rPr>
          <w:b/>
        </w:rPr>
      </w:pPr>
    </w:p>
    <w:p w:rsidR="00A101EA" w:rsidRDefault="00A101EA" w:rsidP="00A101EA">
      <w:pPr>
        <w:ind w:firstLine="709"/>
        <w:jc w:val="center"/>
        <w:rPr>
          <w:b/>
        </w:rPr>
      </w:pPr>
      <w:r w:rsidRPr="00A101EA">
        <w:rPr>
          <w:b/>
        </w:rPr>
        <w:t>Общее и дополнительное образование</w:t>
      </w:r>
    </w:p>
    <w:p w:rsidR="00A101EA" w:rsidRPr="00A101EA" w:rsidRDefault="00A101EA" w:rsidP="00A101EA">
      <w:pPr>
        <w:shd w:val="clear" w:color="auto" w:fill="FFFFFF"/>
        <w:ind w:firstLine="720"/>
        <w:contextualSpacing/>
        <w:jc w:val="both"/>
      </w:pPr>
      <w:r w:rsidRPr="00A101EA">
        <w:t xml:space="preserve">На 1 сентября 2018 года в районе открыты 17 средних и 7 общеобразовательных учреждений, где обучается 7590 учащихся; были открыты 345  общеобразовательных классов (7518 обучающихся); 8 классов, работающих по специальным (коррекционным) образовательным программам VIII вида (115 обучающихся). Общедоступность и бесплатность общего </w:t>
      </w:r>
      <w:r w:rsidRPr="00A101EA">
        <w:lastRenderedPageBreak/>
        <w:t xml:space="preserve">образования, выполнение федеральных государственных стандартов обеспечиваются на всех ступенях обучения. Пять муниципальных общеобразовательных учреждений обучаются в две смены. В целях обеспечения односменного режима обучения с руководителями образовательных учреждений проводилась работа по нормативному комплектованию классов. </w:t>
      </w:r>
    </w:p>
    <w:p w:rsidR="00A101EA" w:rsidRPr="00A101EA" w:rsidRDefault="00A101EA" w:rsidP="00A101EA">
      <w:pPr>
        <w:pStyle w:val="Style4"/>
        <w:widowControl/>
        <w:spacing w:line="240" w:lineRule="auto"/>
        <w:ind w:firstLine="720"/>
        <w:contextualSpacing/>
        <w:jc w:val="both"/>
        <w:rPr>
          <w:sz w:val="28"/>
          <w:szCs w:val="28"/>
        </w:rPr>
      </w:pPr>
      <w:r w:rsidRPr="00A101EA">
        <w:rPr>
          <w:sz w:val="28"/>
          <w:szCs w:val="28"/>
        </w:rPr>
        <w:t xml:space="preserve">Основной показатель эффективности работы общеобразовательных учреждений - результаты освоения обучающимися государственных программ общего образования. </w:t>
      </w:r>
    </w:p>
    <w:p w:rsidR="00A101EA" w:rsidRPr="00A101EA" w:rsidRDefault="00A101EA" w:rsidP="00A101EA">
      <w:pPr>
        <w:pStyle w:val="Style4"/>
        <w:widowControl/>
        <w:spacing w:line="240" w:lineRule="auto"/>
        <w:ind w:firstLine="720"/>
        <w:contextualSpacing/>
        <w:jc w:val="both"/>
        <w:rPr>
          <w:sz w:val="28"/>
          <w:szCs w:val="28"/>
        </w:rPr>
      </w:pPr>
      <w:r w:rsidRPr="00A101EA">
        <w:rPr>
          <w:sz w:val="28"/>
          <w:szCs w:val="28"/>
        </w:rPr>
        <w:t>Государственную (итоговую) аттестацию в 2019 году за курс основной школы проходили 665 девятиклассников, из них 3 ученика с  ОВЗ. 354 учащихся 11 класса   проходили государственную (итоговую) аттестацию за курс средней школы, 99,6% выпускников получили аттестат.</w:t>
      </w:r>
    </w:p>
    <w:p w:rsidR="00A101EA" w:rsidRPr="00A101EA" w:rsidRDefault="00A101EA" w:rsidP="00A101EA">
      <w:pPr>
        <w:ind w:firstLine="709"/>
        <w:jc w:val="both"/>
      </w:pPr>
      <w:r w:rsidRPr="00A101EA">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2018 году по сравнению с 2017 годом увеличилась  на 0,42% и составила 0,84 %. Всего не получивших аттестат в 2017 году  - 2 человека. На прогнозный период планируется свести этот показатель к 0.</w:t>
      </w:r>
    </w:p>
    <w:p w:rsidR="00A101EA" w:rsidRPr="00A101EA" w:rsidRDefault="00A101EA" w:rsidP="00A101EA">
      <w:pPr>
        <w:ind w:firstLine="709"/>
        <w:jc w:val="both"/>
      </w:pPr>
      <w:r w:rsidRPr="00A101EA">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2018 году составила  81,77 %, это незначительно больше 2017 года (на 1,68 %). Во всех образовательных учреждениях выполнены работы в соответствии с требованиями правил пожарной безопасности. Произведен косметический ремонт классов и помещений школ. До 2021 года этот показатель не изменится.</w:t>
      </w:r>
    </w:p>
    <w:p w:rsidR="00A101EA" w:rsidRPr="00A101EA" w:rsidRDefault="00A101EA" w:rsidP="00A101EA">
      <w:pPr>
        <w:ind w:firstLine="720"/>
        <w:jc w:val="both"/>
      </w:pPr>
      <w:r w:rsidRPr="00A101EA">
        <w:t>В октябре 2018 году произведен ремонт кровли МБОУ «СОШ № 6» за счет средств района, освоено 2490868 рублей    и ремонт кровли и фундамента МБОУ Капустиноярская СОШ за счет областных средств и софинансирования района  освоено 2125577 рублей.</w:t>
      </w:r>
    </w:p>
    <w:p w:rsidR="00A101EA" w:rsidRPr="00A101EA" w:rsidRDefault="00A101EA" w:rsidP="00A101EA">
      <w:pPr>
        <w:ind w:firstLine="709"/>
        <w:jc w:val="both"/>
        <w:rPr>
          <w:color w:val="215868" w:themeColor="accent5" w:themeShade="80"/>
        </w:rPr>
      </w:pPr>
      <w:r w:rsidRPr="00A101EA">
        <w:t>В 2018 году в капитальном ремонте зданий нуждались 3 учреждения. (МБОУ СОШ №4 МО "Ахтубинский район", МБОУ Капустиноярская СОШ  МО "Ахтубинский район", МБОУ Нижнебаскунчакская СОШ МО "Ахтубинский район").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на 01.01.2018 года составила 12,5 %  (2017 год – 12,5%). В 2017 году в МБОУ Нижнебаскунчакская СОШ МО "Ахтубинский район" отсутствовали подтверждающие документы на проведение капитального ремонта.</w:t>
      </w:r>
    </w:p>
    <w:p w:rsidR="00A101EA" w:rsidRPr="00A101EA" w:rsidRDefault="00A101EA" w:rsidP="00A101EA">
      <w:pPr>
        <w:ind w:firstLine="709"/>
        <w:jc w:val="both"/>
      </w:pPr>
      <w:r w:rsidRPr="00A101EA">
        <w:t xml:space="preserve">Охрана и сохранение здоровья обучающихся является приоритетным направлением деятельности общеобразовательных учреждений. Анализ групп здоровья обучающихся показывает, что доля первой и второй групп здоровья является преобладающей и составляет 84%, однако этот показатель снизился на </w:t>
      </w:r>
      <w:r w:rsidRPr="00A101EA">
        <w:lastRenderedPageBreak/>
        <w:t xml:space="preserve">1,7  процентных пункта по сравнению с 2017 годом. Уменьшение детей первой и второй группы здоровья произошло по причине того, что осмотр детей декретированных возрастов проходил более широким кругом специалистов, чем в предыдущие годы. </w:t>
      </w:r>
    </w:p>
    <w:p w:rsidR="00A101EA" w:rsidRPr="00A101EA" w:rsidRDefault="00A101EA" w:rsidP="00A101EA">
      <w:pPr>
        <w:ind w:firstLine="709"/>
        <w:jc w:val="both"/>
      </w:pPr>
      <w:r w:rsidRPr="00A101EA">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уменьшилась по сравнению с 2017 годом и составил 9 % (2017 – 9,41 %). </w:t>
      </w:r>
    </w:p>
    <w:p w:rsidR="00A101EA" w:rsidRPr="00A101EA" w:rsidRDefault="00A101EA" w:rsidP="00A101EA">
      <w:pPr>
        <w:ind w:firstLine="709"/>
        <w:jc w:val="both"/>
      </w:pPr>
      <w:r w:rsidRPr="00A101EA">
        <w:t>Расходы бюджета муниципального образования на общее образование в расчете на 1 обучающегося в муниципальных общеобразовательных учреждениях в 2018 году сложились в размере 9,28 тыс. рублей.</w:t>
      </w:r>
    </w:p>
    <w:p w:rsidR="00A101EA" w:rsidRDefault="00A101EA" w:rsidP="00A101EA">
      <w:pPr>
        <w:ind w:firstLine="709"/>
        <w:jc w:val="both"/>
      </w:pPr>
      <w:r w:rsidRPr="00A101EA">
        <w:t xml:space="preserve">Расходы на общее образование в 2018 году исполнены на сумму 70855,9 тысяч рублей, что больше 2017 года на 635 тыс.руб. </w:t>
      </w:r>
    </w:p>
    <w:p w:rsidR="00A101EA" w:rsidRDefault="00A101EA" w:rsidP="00A101EA">
      <w:pPr>
        <w:ind w:firstLine="709"/>
        <w:jc w:val="both"/>
      </w:pPr>
    </w:p>
    <w:p w:rsidR="00A101EA" w:rsidRPr="00A101EA" w:rsidRDefault="00A101EA" w:rsidP="00A101EA">
      <w:pPr>
        <w:ind w:firstLine="709"/>
        <w:jc w:val="center"/>
        <w:rPr>
          <w:b/>
        </w:rPr>
      </w:pPr>
      <w:r w:rsidRPr="00A101EA">
        <w:rPr>
          <w:b/>
        </w:rPr>
        <w:t>Физическая культура и спорт</w:t>
      </w:r>
    </w:p>
    <w:p w:rsidR="00A101EA" w:rsidRPr="00A101EA" w:rsidRDefault="00A101EA" w:rsidP="00A101EA">
      <w:pPr>
        <w:ind w:firstLine="709"/>
        <w:contextualSpacing/>
        <w:jc w:val="both"/>
        <w:rPr>
          <w:rFonts w:eastAsia="Arial"/>
        </w:rPr>
      </w:pPr>
      <w:r w:rsidRPr="00A101EA">
        <w:rPr>
          <w:rFonts w:eastAsia="Arial"/>
        </w:rPr>
        <w:t>В 2018 году количество занимающихся физической культурой и спортом от 3 лет до 79 лет составило 24421 чел., что составляет 41,18%от среднегодовой численности населения Ахтубинского района в возрасте 3-79 лет (59307 чел.).</w:t>
      </w:r>
    </w:p>
    <w:p w:rsidR="00A101EA" w:rsidRPr="00325CB8" w:rsidRDefault="00A101EA" w:rsidP="00A101EA">
      <w:pPr>
        <w:ind w:firstLine="709"/>
        <w:contextualSpacing/>
        <w:jc w:val="both"/>
        <w:rPr>
          <w:rFonts w:eastAsia="Arial"/>
        </w:rPr>
      </w:pPr>
      <w:r w:rsidRPr="00A101EA">
        <w:rPr>
          <w:rFonts w:eastAsia="Arial"/>
        </w:rPr>
        <w:t>По сравнению с 2017</w:t>
      </w:r>
      <w:r w:rsidRPr="00325CB8">
        <w:rPr>
          <w:rFonts w:eastAsia="Arial"/>
        </w:rPr>
        <w:t xml:space="preserve"> годом, в 201</w:t>
      </w:r>
      <w:r>
        <w:rPr>
          <w:rFonts w:eastAsia="Arial"/>
        </w:rPr>
        <w:t>8</w:t>
      </w:r>
      <w:r w:rsidRPr="00325CB8">
        <w:rPr>
          <w:rFonts w:eastAsia="Arial"/>
        </w:rPr>
        <w:t xml:space="preserve"> году произошло увеличение численности занимающихся физической культурой и спортом, в связи с проведением Спартакиад, среди различных возрастных групп, с проведением Фестивалей по приёму нормативов Всероссийского комплекса ГТО, среди дошкольников, общеобразовательных школ, студентов высшего и средне-специальных учебных заведений, силовых структур.</w:t>
      </w:r>
    </w:p>
    <w:p w:rsidR="00A101EA" w:rsidRPr="00325CB8" w:rsidRDefault="00A101EA" w:rsidP="00A101EA">
      <w:pPr>
        <w:ind w:firstLine="709"/>
        <w:contextualSpacing/>
        <w:jc w:val="both"/>
      </w:pPr>
      <w:r w:rsidRPr="00325CB8">
        <w:t>В 201</w:t>
      </w:r>
      <w:r>
        <w:t>8</w:t>
      </w:r>
      <w:r w:rsidRPr="00325CB8">
        <w:t xml:space="preserve"> году доля обучающихся, систематически занимающихся физической культурой и спортом, в общей численности обучающихся составляет </w:t>
      </w:r>
      <w:r>
        <w:t>92,92</w:t>
      </w:r>
      <w:r w:rsidRPr="00325CB8">
        <w:t>%.</w:t>
      </w:r>
    </w:p>
    <w:p w:rsidR="00A101EA" w:rsidRPr="00325CB8" w:rsidRDefault="00A101EA" w:rsidP="00A101EA">
      <w:pPr>
        <w:ind w:firstLine="709"/>
        <w:contextualSpacing/>
        <w:jc w:val="both"/>
        <w:rPr>
          <w:rFonts w:eastAsia="Arial"/>
        </w:rPr>
      </w:pPr>
      <w:r w:rsidRPr="00325CB8">
        <w:rPr>
          <w:rFonts w:eastAsia="Arial"/>
        </w:rPr>
        <w:t>С 20</w:t>
      </w:r>
      <w:r>
        <w:rPr>
          <w:rFonts w:eastAsia="Arial"/>
        </w:rPr>
        <w:t>20</w:t>
      </w:r>
      <w:r w:rsidRPr="00325CB8">
        <w:rPr>
          <w:rFonts w:eastAsia="Arial"/>
        </w:rPr>
        <w:t xml:space="preserve"> по 2021 годы планируется увеличение количества занимающихся физической культурой и спортом, среди населения МО «Ахтубинский район» за счёт:</w:t>
      </w:r>
    </w:p>
    <w:p w:rsidR="00A101EA" w:rsidRPr="00325CB8" w:rsidRDefault="00A101EA" w:rsidP="00A101EA">
      <w:pPr>
        <w:numPr>
          <w:ilvl w:val="0"/>
          <w:numId w:val="7"/>
        </w:numPr>
        <w:suppressAutoHyphens/>
        <w:ind w:left="0" w:firstLine="709"/>
        <w:contextualSpacing/>
        <w:jc w:val="both"/>
        <w:rPr>
          <w:rFonts w:eastAsia="Arial"/>
        </w:rPr>
      </w:pPr>
      <w:r w:rsidRPr="00325CB8">
        <w:rPr>
          <w:rFonts w:eastAsia="Arial"/>
        </w:rPr>
        <w:t xml:space="preserve">создания оптимальных условий </w:t>
      </w:r>
      <w:r>
        <w:rPr>
          <w:rFonts w:eastAsia="Arial"/>
        </w:rPr>
        <w:t xml:space="preserve">ориентирующих  граждан </w:t>
      </w:r>
      <w:r w:rsidRPr="00325CB8">
        <w:rPr>
          <w:rFonts w:eastAsia="Arial"/>
        </w:rPr>
        <w:t>для массового вовлечения различных слоёв населения, особенно детей и подростков, в регулярные занятия физической культурой и спортом;</w:t>
      </w:r>
    </w:p>
    <w:p w:rsidR="00A101EA" w:rsidRDefault="00A101EA" w:rsidP="00A101EA">
      <w:pPr>
        <w:numPr>
          <w:ilvl w:val="0"/>
          <w:numId w:val="7"/>
        </w:numPr>
        <w:suppressAutoHyphens/>
        <w:ind w:left="0" w:firstLine="709"/>
        <w:contextualSpacing/>
        <w:jc w:val="both"/>
        <w:rPr>
          <w:rFonts w:eastAsia="Arial"/>
        </w:rPr>
      </w:pPr>
      <w:r w:rsidRPr="00325CB8">
        <w:rPr>
          <w:rFonts w:eastAsia="Arial"/>
        </w:rPr>
        <w:t>формирования у жителей Ахтубинского района устойчивого интереса к занятиям физической культурой и спортом, путём проведения Спартакиад, среди трудящихся «За здоровый образ жизни», проведение Фестиваля по приёму нормативов ГТО у взрослого населения;</w:t>
      </w:r>
    </w:p>
    <w:p w:rsidR="00A101EA" w:rsidRPr="00325CB8" w:rsidRDefault="00A101EA" w:rsidP="00A101EA">
      <w:pPr>
        <w:numPr>
          <w:ilvl w:val="0"/>
          <w:numId w:val="7"/>
        </w:numPr>
        <w:suppressAutoHyphens/>
        <w:ind w:left="0" w:firstLine="709"/>
        <w:contextualSpacing/>
        <w:jc w:val="both"/>
        <w:rPr>
          <w:rFonts w:eastAsia="Arial"/>
        </w:rPr>
      </w:pPr>
      <w:r>
        <w:rPr>
          <w:rFonts w:eastAsia="Arial"/>
        </w:rPr>
        <w:t>открытие многофункциональной спортивной площадки, реконструкции беговых дорожек, площадки с тренажерами на стадионе «Волга»</w:t>
      </w:r>
    </w:p>
    <w:p w:rsidR="00A101EA" w:rsidRPr="00325CB8" w:rsidRDefault="00A101EA" w:rsidP="00A101EA">
      <w:pPr>
        <w:numPr>
          <w:ilvl w:val="0"/>
          <w:numId w:val="7"/>
        </w:numPr>
        <w:suppressAutoHyphens/>
        <w:ind w:left="0" w:firstLine="709"/>
        <w:contextualSpacing/>
        <w:jc w:val="both"/>
        <w:rPr>
          <w:rFonts w:eastAsia="Arial"/>
        </w:rPr>
      </w:pPr>
      <w:r w:rsidRPr="00325CB8">
        <w:rPr>
          <w:rFonts w:eastAsia="Arial"/>
        </w:rPr>
        <w:t>устройство многофункциональных спортивных площадок на территории МО «Ахтубинский район</w:t>
      </w:r>
      <w:r>
        <w:rPr>
          <w:rFonts w:eastAsia="Arial"/>
        </w:rPr>
        <w:t>.</w:t>
      </w:r>
    </w:p>
    <w:p w:rsidR="00A101EA" w:rsidRPr="00A101EA" w:rsidRDefault="00A101EA" w:rsidP="00A101EA">
      <w:pPr>
        <w:pStyle w:val="a5"/>
        <w:ind w:left="1429"/>
        <w:rPr>
          <w:b/>
          <w:sz w:val="28"/>
          <w:szCs w:val="28"/>
        </w:rPr>
      </w:pPr>
    </w:p>
    <w:p w:rsidR="00A101EA" w:rsidRDefault="00A101EA" w:rsidP="00A101EA">
      <w:pPr>
        <w:pStyle w:val="a5"/>
        <w:ind w:left="1429"/>
        <w:rPr>
          <w:b/>
          <w:sz w:val="28"/>
          <w:szCs w:val="28"/>
        </w:rPr>
      </w:pPr>
    </w:p>
    <w:p w:rsidR="00A101EA" w:rsidRPr="00A101EA" w:rsidRDefault="00A101EA" w:rsidP="00A101EA">
      <w:pPr>
        <w:pStyle w:val="a5"/>
        <w:ind w:left="1429"/>
        <w:rPr>
          <w:b/>
          <w:sz w:val="28"/>
          <w:szCs w:val="28"/>
        </w:rPr>
      </w:pPr>
      <w:bookmarkStart w:id="0" w:name="_GoBack"/>
      <w:bookmarkEnd w:id="0"/>
      <w:r w:rsidRPr="00A101EA">
        <w:rPr>
          <w:b/>
          <w:sz w:val="28"/>
          <w:szCs w:val="28"/>
        </w:rPr>
        <w:lastRenderedPageBreak/>
        <w:t>Основные тенденции социально-экономического развития</w:t>
      </w:r>
    </w:p>
    <w:p w:rsidR="00A101EA" w:rsidRDefault="00A101EA" w:rsidP="00A101EA">
      <w:pPr>
        <w:pStyle w:val="a5"/>
        <w:ind w:left="1429"/>
        <w:rPr>
          <w:b/>
          <w:sz w:val="28"/>
          <w:szCs w:val="28"/>
        </w:rPr>
      </w:pPr>
      <w:r w:rsidRPr="00A101EA">
        <w:rPr>
          <w:b/>
          <w:sz w:val="28"/>
          <w:szCs w:val="28"/>
        </w:rPr>
        <w:t xml:space="preserve">            </w:t>
      </w:r>
      <w:r w:rsidRPr="00A101EA">
        <w:rPr>
          <w:b/>
          <w:sz w:val="28"/>
          <w:szCs w:val="28"/>
        </w:rPr>
        <w:t>МО «Ахтубинский район» на 2020-2022 года</w:t>
      </w:r>
    </w:p>
    <w:p w:rsidR="00A101EA" w:rsidRPr="00A101EA" w:rsidRDefault="00A101EA" w:rsidP="00A101EA">
      <w:pPr>
        <w:pStyle w:val="a5"/>
        <w:ind w:left="1429"/>
        <w:rPr>
          <w:b/>
          <w:sz w:val="28"/>
          <w:szCs w:val="28"/>
        </w:rPr>
      </w:pPr>
    </w:p>
    <w:p w:rsidR="00A101EA" w:rsidRPr="00A101EA" w:rsidRDefault="00A101EA" w:rsidP="00A101EA">
      <w:pPr>
        <w:pStyle w:val="a5"/>
        <w:numPr>
          <w:ilvl w:val="0"/>
          <w:numId w:val="7"/>
        </w:numPr>
        <w:jc w:val="both"/>
        <w:rPr>
          <w:sz w:val="28"/>
          <w:szCs w:val="28"/>
        </w:rPr>
      </w:pPr>
      <w:r w:rsidRPr="00A101EA">
        <w:rPr>
          <w:sz w:val="28"/>
          <w:szCs w:val="28"/>
        </w:rPr>
        <w:t>Основные приоритеты социально-экономического развития МО «Ахтубинский район» на 2020-2022 года остаются неизменными:</w:t>
      </w:r>
    </w:p>
    <w:p w:rsidR="00A101EA" w:rsidRPr="00A101EA" w:rsidRDefault="00A101EA" w:rsidP="00A101EA">
      <w:pPr>
        <w:pStyle w:val="a5"/>
        <w:numPr>
          <w:ilvl w:val="0"/>
          <w:numId w:val="7"/>
        </w:numPr>
        <w:jc w:val="both"/>
        <w:rPr>
          <w:sz w:val="28"/>
          <w:szCs w:val="28"/>
        </w:rPr>
      </w:pPr>
      <w:r w:rsidRPr="00A101EA">
        <w:rPr>
          <w:sz w:val="28"/>
          <w:szCs w:val="28"/>
        </w:rPr>
        <w:t xml:space="preserve">1.Улучшение условий проживания, стабилизация демографической ситуации путем повышения рождаемости, увеличение продолжительности жизни населения; </w:t>
      </w:r>
    </w:p>
    <w:p w:rsidR="00A101EA" w:rsidRPr="00A101EA" w:rsidRDefault="00A101EA" w:rsidP="00A101EA">
      <w:pPr>
        <w:pStyle w:val="a5"/>
        <w:numPr>
          <w:ilvl w:val="0"/>
          <w:numId w:val="7"/>
        </w:numPr>
        <w:jc w:val="both"/>
        <w:rPr>
          <w:sz w:val="28"/>
          <w:szCs w:val="28"/>
        </w:rPr>
      </w:pPr>
      <w:r w:rsidRPr="00A101EA">
        <w:rPr>
          <w:sz w:val="28"/>
          <w:szCs w:val="28"/>
        </w:rPr>
        <w:t>2.Обеспечение занятости населения, сохранение и создание рабочих мест;</w:t>
      </w:r>
    </w:p>
    <w:p w:rsidR="00A101EA" w:rsidRPr="00A101EA" w:rsidRDefault="00A101EA" w:rsidP="00A101EA">
      <w:pPr>
        <w:pStyle w:val="a5"/>
        <w:numPr>
          <w:ilvl w:val="0"/>
          <w:numId w:val="7"/>
        </w:numPr>
        <w:jc w:val="both"/>
        <w:rPr>
          <w:sz w:val="28"/>
          <w:szCs w:val="28"/>
        </w:rPr>
      </w:pPr>
      <w:r w:rsidRPr="00A101EA">
        <w:rPr>
          <w:sz w:val="28"/>
          <w:szCs w:val="28"/>
        </w:rPr>
        <w:t xml:space="preserve">3.Развитие отраслей социальной сферы, повышение качества, доступности и разнообразия предоставляемых гражданам муниципальных услуг; </w:t>
      </w:r>
    </w:p>
    <w:p w:rsidR="00A101EA" w:rsidRPr="00A101EA" w:rsidRDefault="00A101EA" w:rsidP="00A101EA">
      <w:pPr>
        <w:pStyle w:val="a5"/>
        <w:numPr>
          <w:ilvl w:val="0"/>
          <w:numId w:val="7"/>
        </w:numPr>
        <w:jc w:val="both"/>
        <w:rPr>
          <w:sz w:val="28"/>
          <w:szCs w:val="28"/>
        </w:rPr>
      </w:pPr>
      <w:r w:rsidRPr="00A101EA">
        <w:rPr>
          <w:sz w:val="28"/>
          <w:szCs w:val="28"/>
        </w:rPr>
        <w:t>4.Организация культурного досуга и обеспечение населения муниципального образования услугами культуры;</w:t>
      </w:r>
    </w:p>
    <w:p w:rsidR="00A101EA" w:rsidRPr="00A101EA" w:rsidRDefault="00A101EA" w:rsidP="00A101EA">
      <w:pPr>
        <w:pStyle w:val="a5"/>
        <w:numPr>
          <w:ilvl w:val="0"/>
          <w:numId w:val="7"/>
        </w:numPr>
        <w:jc w:val="both"/>
        <w:rPr>
          <w:sz w:val="28"/>
          <w:szCs w:val="28"/>
        </w:rPr>
      </w:pPr>
      <w:r w:rsidRPr="00A101EA">
        <w:rPr>
          <w:sz w:val="28"/>
          <w:szCs w:val="28"/>
        </w:rPr>
        <w:t>5.Повышение уровня физкультурно-оздоровительной и профилактической работы с населением, пропаганда и поддержание здорового образа жизни;</w:t>
      </w:r>
    </w:p>
    <w:p w:rsidR="00A101EA" w:rsidRPr="00A101EA" w:rsidRDefault="00A101EA" w:rsidP="00A101EA">
      <w:pPr>
        <w:pStyle w:val="a5"/>
        <w:numPr>
          <w:ilvl w:val="0"/>
          <w:numId w:val="7"/>
        </w:numPr>
        <w:jc w:val="both"/>
        <w:rPr>
          <w:sz w:val="28"/>
          <w:szCs w:val="28"/>
        </w:rPr>
      </w:pPr>
      <w:r w:rsidRPr="00A101EA">
        <w:rPr>
          <w:sz w:val="28"/>
          <w:szCs w:val="28"/>
        </w:rPr>
        <w:t>6.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rsidR="00A101EA" w:rsidRPr="00A101EA" w:rsidRDefault="00A101EA" w:rsidP="00A101EA">
      <w:pPr>
        <w:pStyle w:val="a5"/>
        <w:numPr>
          <w:ilvl w:val="0"/>
          <w:numId w:val="7"/>
        </w:numPr>
        <w:jc w:val="both"/>
        <w:rPr>
          <w:snapToGrid w:val="0"/>
          <w:color w:val="000000"/>
          <w:sz w:val="28"/>
          <w:szCs w:val="28"/>
        </w:rPr>
      </w:pPr>
      <w:r w:rsidRPr="00A101EA">
        <w:rPr>
          <w:snapToGrid w:val="0"/>
          <w:color w:val="000000"/>
          <w:sz w:val="28"/>
          <w:szCs w:val="28"/>
        </w:rPr>
        <w:t xml:space="preserve">7.Создание условий для комфортного проживания населения путем реализации мероприятий по благоустройству территории района, ремонту и реконструкции объектов жилищно-коммунального хозяйства; </w:t>
      </w:r>
    </w:p>
    <w:p w:rsidR="00A101EA" w:rsidRPr="00A101EA" w:rsidRDefault="00A101EA" w:rsidP="00A101EA">
      <w:pPr>
        <w:pStyle w:val="a5"/>
        <w:numPr>
          <w:ilvl w:val="0"/>
          <w:numId w:val="7"/>
        </w:numPr>
        <w:jc w:val="both"/>
        <w:rPr>
          <w:snapToGrid w:val="0"/>
          <w:color w:val="000000"/>
          <w:sz w:val="28"/>
          <w:szCs w:val="28"/>
        </w:rPr>
      </w:pPr>
      <w:r w:rsidRPr="00A101EA">
        <w:rPr>
          <w:snapToGrid w:val="0"/>
          <w:color w:val="000000"/>
          <w:sz w:val="28"/>
          <w:szCs w:val="28"/>
        </w:rPr>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A101EA" w:rsidRPr="00A101EA" w:rsidRDefault="00A101EA" w:rsidP="00A101EA">
      <w:pPr>
        <w:pStyle w:val="a5"/>
        <w:numPr>
          <w:ilvl w:val="0"/>
          <w:numId w:val="7"/>
        </w:numPr>
        <w:jc w:val="both"/>
        <w:rPr>
          <w:sz w:val="28"/>
          <w:szCs w:val="28"/>
        </w:rPr>
      </w:pPr>
      <w:r w:rsidRPr="00A101EA">
        <w:rPr>
          <w:snapToGrid w:val="0"/>
          <w:color w:val="000000"/>
          <w:sz w:val="28"/>
          <w:szCs w:val="28"/>
        </w:rPr>
        <w:t>9. Повышение эффективности управления муниципальным имуществом, в том числе земельными ресурсами.</w:t>
      </w:r>
    </w:p>
    <w:p w:rsidR="00A101EA" w:rsidRDefault="00A101EA" w:rsidP="000305B7">
      <w:pPr>
        <w:ind w:firstLine="709"/>
        <w:jc w:val="center"/>
        <w:rPr>
          <w:b/>
        </w:rPr>
      </w:pPr>
    </w:p>
    <w:p w:rsidR="001A4029" w:rsidRDefault="001A4029" w:rsidP="00B64251">
      <w:pPr>
        <w:ind w:firstLine="709"/>
        <w:jc w:val="center"/>
        <w:rPr>
          <w:b/>
        </w:rPr>
      </w:pPr>
      <w:r w:rsidRPr="00B64251">
        <w:rPr>
          <w:b/>
        </w:rPr>
        <w:t>Культура</w:t>
      </w:r>
    </w:p>
    <w:p w:rsidR="00A101EA" w:rsidRPr="00B64251" w:rsidRDefault="00A101EA" w:rsidP="00B64251">
      <w:pPr>
        <w:ind w:firstLine="709"/>
        <w:jc w:val="center"/>
        <w:rPr>
          <w:b/>
        </w:rPr>
      </w:pPr>
    </w:p>
    <w:p w:rsidR="003F07AF" w:rsidRPr="00B64251" w:rsidRDefault="003F07AF" w:rsidP="003F07AF">
      <w:pPr>
        <w:ind w:firstLine="709"/>
        <w:jc w:val="both"/>
      </w:pPr>
      <w:r w:rsidRPr="00B64251">
        <w:t>В Ахтубинском районе миссию по обеспечению сохранности историко-культурного наследия, укреплению отрасли культуры, проведению районных конкурсов, смотров, фестивалей, национальных праздников выполняют учреждения культуры: 25 библиотек, 15 из которых расположены в сельских поселениях, 2 из них детские и 10 городских библиотек 4 из них детские, 18 КДУ, две школы дополнительного образования с филиалами, МБУ по кинообслуживанию населения, МБУК «Районный историко-краеведческий музей».</w:t>
      </w:r>
    </w:p>
    <w:p w:rsidR="003F07AF" w:rsidRPr="00B64251" w:rsidRDefault="003F07AF" w:rsidP="003F07AF">
      <w:pPr>
        <w:ind w:firstLine="709"/>
        <w:jc w:val="both"/>
      </w:pPr>
      <w:r w:rsidRPr="00B64251">
        <w:lastRenderedPageBreak/>
        <w:t>В 2018 г.  доля детей в возрасте 5-18 лет, получающих услуги по дополнительному образованию в организациях культуры в общей численности детей данной категории в Ахтубинском районе, составила 14,8 %, численность детей в возрасте 5-18 лет, получающих услуги по дополнительному образованию в сфере культуры составила 1517 человек.</w:t>
      </w:r>
    </w:p>
    <w:p w:rsidR="003F07AF" w:rsidRPr="00B64251" w:rsidRDefault="003F07AF" w:rsidP="00B64251">
      <w:pPr>
        <w:ind w:firstLine="709"/>
        <w:jc w:val="both"/>
      </w:pPr>
      <w:r w:rsidRPr="00B64251">
        <w:t>В период с 2019-2021г. планируется увеличение численности детей до 1656 человек за счет расширения специализаций дополнительных общеобразовательных общеразвивающих программ.</w:t>
      </w:r>
    </w:p>
    <w:p w:rsidR="003F07AF" w:rsidRPr="00B64251" w:rsidRDefault="003F07AF" w:rsidP="003F07AF">
      <w:pPr>
        <w:ind w:firstLine="709"/>
        <w:jc w:val="both"/>
      </w:pPr>
      <w:r w:rsidRPr="00B64251">
        <w:t>Норматив по обеспеченности учреждениями культуры МО «Ахтубинский район» рассчитан в соответствии с распоряжением Министерства культуры Российской Федерации от 02.08.17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составляет 94,4 %. В 2019-2021 годах показатель планируется оставить на уровне 2018 года.</w:t>
      </w:r>
    </w:p>
    <w:p w:rsidR="003F07AF" w:rsidRPr="00B64251" w:rsidRDefault="003F07AF" w:rsidP="003F07AF">
      <w:pPr>
        <w:ind w:firstLine="709"/>
        <w:jc w:val="both"/>
      </w:pPr>
      <w:r w:rsidRPr="00B64251">
        <w:t>В Ахтубинском районе широко развита библиотечная сеть. В МО «Ахтубинский район» функционируют 25 библиотек. В 2018 году количество посещений библиотек района составило 284702. Зарегистрированных пользователей – 25200 человек.</w:t>
      </w:r>
    </w:p>
    <w:p w:rsidR="003F07AF" w:rsidRPr="00B64251" w:rsidRDefault="003F07AF" w:rsidP="003F07AF">
      <w:pPr>
        <w:ind w:firstLine="709"/>
        <w:jc w:val="both"/>
      </w:pPr>
      <w:r w:rsidRPr="00B64251">
        <w:t>Данного количества библиотек достаточно для охвата населения Ахтубинского района библиотечными услугами.</w:t>
      </w:r>
    </w:p>
    <w:p w:rsidR="003F07AF" w:rsidRPr="00B64251" w:rsidRDefault="003F07AF" w:rsidP="003F07AF">
      <w:pPr>
        <w:ind w:firstLine="709"/>
        <w:jc w:val="both"/>
      </w:pPr>
      <w:r w:rsidRPr="00B64251">
        <w:t xml:space="preserve">В 2018 году завершен первый этап по текущему ремонту сельского дома культуры с. Успенка, которые планируется завершить в 2019 году, за счет этого в плановый период с 2019-2021г. планируется снижение показателя. </w:t>
      </w:r>
    </w:p>
    <w:p w:rsidR="003F07AF" w:rsidRPr="00B64251" w:rsidRDefault="003F07AF" w:rsidP="003F07AF">
      <w:pPr>
        <w:ind w:firstLine="709"/>
        <w:jc w:val="both"/>
      </w:pPr>
      <w:r w:rsidRPr="00B64251">
        <w:t xml:space="preserve">Доля объектов, требующих капитального ремонта в общем количестве объектов муниципальных учреждений культуры в 2018 году составила 24,14 % в 2019 году и плановом периоде показатель уменьшится до 20,69 %. </w:t>
      </w:r>
    </w:p>
    <w:p w:rsidR="003F07AF" w:rsidRPr="00B64251" w:rsidRDefault="003F07AF" w:rsidP="00B64251">
      <w:pPr>
        <w:ind w:firstLine="709"/>
        <w:jc w:val="both"/>
      </w:pPr>
      <w:r w:rsidRPr="00B64251">
        <w:t>В Ахтубинском районе активно ведут свою работу клубные учреждения. В целях возрождения, сохранения и развития национальных культур народов, проживающих на территории Ахтубинского района – на базе сельских Домов культуры продолжают свою работу национально-культурные объединения. Ежегодно проводятся календарно-обрядовые, мусульманские и православные праздники.</w:t>
      </w:r>
    </w:p>
    <w:p w:rsidR="003F07AF" w:rsidRPr="00B64251" w:rsidRDefault="003F07AF" w:rsidP="00B64251">
      <w:pPr>
        <w:ind w:firstLine="709"/>
        <w:jc w:val="both"/>
      </w:pPr>
      <w:r w:rsidRPr="00B64251">
        <w:t>Продолжают свою работу разнообразные клубы по интересам, любительские объединения и формирования, детские клубы. Всего в клубных учреждениях Ахтубинского района 256 клубных формирований, из них для детей до 14 лет – 119 и для молодежи от 15 до 24 лет – 60. Всего участников в этих формированиях – 4025 человек.</w:t>
      </w:r>
    </w:p>
    <w:p w:rsidR="003F07AF" w:rsidRPr="00B64251" w:rsidRDefault="003F07AF" w:rsidP="00B64251">
      <w:pPr>
        <w:ind w:firstLine="709"/>
        <w:jc w:val="both"/>
      </w:pPr>
      <w:r w:rsidRPr="00B64251">
        <w:t xml:space="preserve">2018 год прошел с высокими результатами по перевыполнению плановых показателей как по кинопоказам, так и по массовым тематическим мероприятиям. </w:t>
      </w:r>
    </w:p>
    <w:p w:rsidR="003F07AF" w:rsidRPr="00B64251" w:rsidRDefault="003F07AF" w:rsidP="003F07AF">
      <w:pPr>
        <w:ind w:firstLine="709"/>
        <w:jc w:val="both"/>
      </w:pPr>
      <w:r w:rsidRPr="00B64251">
        <w:t>В 2018 году кинотеатр посетило 44108 зрителей. Валовый сбор от продажи билетов в 2018 году составил 7910,55 т.р.</w:t>
      </w:r>
    </w:p>
    <w:p w:rsidR="003F07AF" w:rsidRPr="00B64251" w:rsidRDefault="003F07AF" w:rsidP="00B64251">
      <w:pPr>
        <w:ind w:firstLine="709"/>
        <w:jc w:val="both"/>
      </w:pPr>
      <w:r w:rsidRPr="00B64251">
        <w:lastRenderedPageBreak/>
        <w:t xml:space="preserve"> «Районный историко-краеведческий музей» в 2018 году посетило 5854 человек, проведено 54 мероприятия, 81 экскурсия, организовано 30 выставок, посвященных памятным датам, истории нашей страны и малой родины. </w:t>
      </w:r>
    </w:p>
    <w:p w:rsidR="003F07AF" w:rsidRDefault="003F07AF" w:rsidP="00B64251">
      <w:pPr>
        <w:ind w:firstLine="709"/>
        <w:jc w:val="both"/>
      </w:pPr>
    </w:p>
    <w:p w:rsidR="00C258B1" w:rsidRDefault="00C258B1" w:rsidP="00C258B1">
      <w:pPr>
        <w:jc w:val="both"/>
      </w:pPr>
    </w:p>
    <w:p w:rsidR="009E3D07" w:rsidRPr="0017248E" w:rsidRDefault="009E3D07" w:rsidP="00C258B1">
      <w:pPr>
        <w:jc w:val="both"/>
      </w:pPr>
    </w:p>
    <w:p w:rsidR="00C258B1" w:rsidRPr="0017248E" w:rsidRDefault="00C258B1" w:rsidP="00C258B1">
      <w:pPr>
        <w:jc w:val="both"/>
      </w:pPr>
    </w:p>
    <w:p w:rsidR="0017248E" w:rsidRDefault="0017248E" w:rsidP="00C258B1">
      <w:pPr>
        <w:jc w:val="both"/>
      </w:pPr>
      <w:r>
        <w:t>Заместитель главы администрации,</w:t>
      </w:r>
    </w:p>
    <w:p w:rsidR="00D96F88" w:rsidRDefault="0017248E" w:rsidP="00CA5F2C">
      <w:pPr>
        <w:jc w:val="both"/>
      </w:pPr>
      <w:r>
        <w:t>н</w:t>
      </w:r>
      <w:r w:rsidR="00C258B1" w:rsidRPr="0017248E">
        <w:t>ачальник управления</w:t>
      </w:r>
      <w:r>
        <w:t xml:space="preserve"> </w:t>
      </w:r>
      <w:r w:rsidR="00C258B1" w:rsidRPr="0017248E">
        <w:t xml:space="preserve">экономического развития     </w:t>
      </w:r>
      <w:r w:rsidR="00CA5F2C" w:rsidRPr="0017248E">
        <w:tab/>
      </w:r>
      <w:r w:rsidR="00CA5F2C" w:rsidRPr="0017248E">
        <w:tab/>
      </w:r>
      <w:r w:rsidR="00CA5F2C" w:rsidRPr="0017248E">
        <w:tab/>
        <w:t>Д.А. Клоков</w:t>
      </w:r>
    </w:p>
    <w:sectPr w:rsidR="00D96F88" w:rsidSect="003F07AF">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28" w:rsidRDefault="00424D28" w:rsidP="000A332C">
      <w:r>
        <w:separator/>
      </w:r>
    </w:p>
  </w:endnote>
  <w:endnote w:type="continuationSeparator" w:id="0">
    <w:p w:rsidR="00424D28" w:rsidRDefault="00424D28" w:rsidP="000A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03032"/>
      <w:docPartObj>
        <w:docPartGallery w:val="Page Numbers (Bottom of Page)"/>
        <w:docPartUnique/>
      </w:docPartObj>
    </w:sdtPr>
    <w:sdtEndPr/>
    <w:sdtContent>
      <w:p w:rsidR="00366C6B" w:rsidRDefault="00366C6B">
        <w:pPr>
          <w:pStyle w:val="af1"/>
          <w:jc w:val="right"/>
        </w:pPr>
        <w:r>
          <w:fldChar w:fldCharType="begin"/>
        </w:r>
        <w:r>
          <w:instrText>PAGE   \* MERGEFORMAT</w:instrText>
        </w:r>
        <w:r>
          <w:fldChar w:fldCharType="separate"/>
        </w:r>
        <w:r w:rsidR="00A101EA">
          <w:rPr>
            <w:noProof/>
          </w:rPr>
          <w:t>17</w:t>
        </w:r>
        <w:r>
          <w:fldChar w:fldCharType="end"/>
        </w:r>
      </w:p>
    </w:sdtContent>
  </w:sdt>
  <w:p w:rsidR="00366C6B" w:rsidRDefault="00366C6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28" w:rsidRDefault="00424D28" w:rsidP="000A332C">
      <w:r>
        <w:separator/>
      </w:r>
    </w:p>
  </w:footnote>
  <w:footnote w:type="continuationSeparator" w:id="0">
    <w:p w:rsidR="00424D28" w:rsidRDefault="00424D28" w:rsidP="000A3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213"/>
        </w:tabs>
        <w:ind w:left="1213" w:hanging="645"/>
      </w:pPr>
    </w:lvl>
  </w:abstractNum>
  <w:abstractNum w:abstractNumId="1">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EA16D51"/>
    <w:multiLevelType w:val="multilevel"/>
    <w:tmpl w:val="0EA16D51"/>
    <w:lvl w:ilvl="0">
      <w:start w:val="1"/>
      <w:numFmt w:val="decimal"/>
      <w:lvlText w:val="%1."/>
      <w:lvlJc w:val="left"/>
      <w:pPr>
        <w:ind w:left="1116" w:hanging="396"/>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4152F38"/>
    <w:multiLevelType w:val="multilevel"/>
    <w:tmpl w:val="440AB24A"/>
    <w:lvl w:ilvl="0">
      <w:start w:val="1"/>
      <w:numFmt w:val="bullet"/>
      <w:lvlText w:val=""/>
      <w:lvlJc w:val="left"/>
      <w:pPr>
        <w:ind w:left="1429"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AE963B1"/>
    <w:multiLevelType w:val="hybridMultilevel"/>
    <w:tmpl w:val="FE7C6254"/>
    <w:lvl w:ilvl="0" w:tplc="9B941F2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ED27C02"/>
    <w:multiLevelType w:val="hybridMultilevel"/>
    <w:tmpl w:val="5932332A"/>
    <w:lvl w:ilvl="0" w:tplc="04190005">
      <w:start w:val="1"/>
      <w:numFmt w:val="bullet"/>
      <w:lvlText w:val=""/>
      <w:lvlJc w:val="left"/>
      <w:pPr>
        <w:tabs>
          <w:tab w:val="num" w:pos="672"/>
        </w:tabs>
        <w:ind w:left="672" w:hanging="360"/>
      </w:pPr>
      <w:rPr>
        <w:rFonts w:ascii="Wingdings" w:hAnsi="Wingdings"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6">
    <w:nsid w:val="3A2F6056"/>
    <w:multiLevelType w:val="hybridMultilevel"/>
    <w:tmpl w:val="86480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C685F"/>
    <w:multiLevelType w:val="hybridMultilevel"/>
    <w:tmpl w:val="99B076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1918BF"/>
    <w:multiLevelType w:val="multilevel"/>
    <w:tmpl w:val="FBEA0CE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6A3960A5"/>
    <w:multiLevelType w:val="hybridMultilevel"/>
    <w:tmpl w:val="DADCD54E"/>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4"/>
  </w:num>
  <w:num w:numId="6">
    <w:abstractNumId w:val="1"/>
  </w:num>
  <w:num w:numId="7">
    <w:abstractNumId w:val="3"/>
  </w:num>
  <w:num w:numId="8">
    <w:abstractNumId w:val="0"/>
  </w:num>
  <w:num w:numId="9">
    <w:abstractNumId w:val="2"/>
  </w:num>
  <w:num w:numId="10">
    <w:abstractNumId w:val="8"/>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38"/>
    <w:rsid w:val="00012299"/>
    <w:rsid w:val="000150EA"/>
    <w:rsid w:val="00022B71"/>
    <w:rsid w:val="000305B7"/>
    <w:rsid w:val="00030794"/>
    <w:rsid w:val="00034E8C"/>
    <w:rsid w:val="0004733B"/>
    <w:rsid w:val="00084FF9"/>
    <w:rsid w:val="000A332C"/>
    <w:rsid w:val="000B53BC"/>
    <w:rsid w:val="000C2EBF"/>
    <w:rsid w:val="000D27AD"/>
    <w:rsid w:val="000E3A71"/>
    <w:rsid w:val="000F5AA4"/>
    <w:rsid w:val="00130CEF"/>
    <w:rsid w:val="001331D2"/>
    <w:rsid w:val="001539E1"/>
    <w:rsid w:val="00153DBC"/>
    <w:rsid w:val="00154DAD"/>
    <w:rsid w:val="001640D2"/>
    <w:rsid w:val="00164778"/>
    <w:rsid w:val="00166DE7"/>
    <w:rsid w:val="0017248E"/>
    <w:rsid w:val="00177807"/>
    <w:rsid w:val="00177CD1"/>
    <w:rsid w:val="00180932"/>
    <w:rsid w:val="0018487A"/>
    <w:rsid w:val="00193F61"/>
    <w:rsid w:val="00195DC3"/>
    <w:rsid w:val="001A4029"/>
    <w:rsid w:val="001A60F7"/>
    <w:rsid w:val="001B7969"/>
    <w:rsid w:val="001D3699"/>
    <w:rsid w:val="001D6059"/>
    <w:rsid w:val="001D629D"/>
    <w:rsid w:val="002118BB"/>
    <w:rsid w:val="002412B5"/>
    <w:rsid w:val="00242CBD"/>
    <w:rsid w:val="00253BE0"/>
    <w:rsid w:val="0025769A"/>
    <w:rsid w:val="00260068"/>
    <w:rsid w:val="0026233C"/>
    <w:rsid w:val="00271C95"/>
    <w:rsid w:val="00275F8B"/>
    <w:rsid w:val="0027757A"/>
    <w:rsid w:val="0028299F"/>
    <w:rsid w:val="00293E7A"/>
    <w:rsid w:val="00295C1B"/>
    <w:rsid w:val="002A3588"/>
    <w:rsid w:val="002B1EC2"/>
    <w:rsid w:val="002C24B5"/>
    <w:rsid w:val="002C422D"/>
    <w:rsid w:val="002C54C8"/>
    <w:rsid w:val="002E7EE1"/>
    <w:rsid w:val="00301781"/>
    <w:rsid w:val="00304694"/>
    <w:rsid w:val="003053F1"/>
    <w:rsid w:val="00311C12"/>
    <w:rsid w:val="003203AB"/>
    <w:rsid w:val="00326ABC"/>
    <w:rsid w:val="003277EE"/>
    <w:rsid w:val="00331A42"/>
    <w:rsid w:val="0033304B"/>
    <w:rsid w:val="00354587"/>
    <w:rsid w:val="00354EBD"/>
    <w:rsid w:val="00357592"/>
    <w:rsid w:val="00357A8A"/>
    <w:rsid w:val="00362F7A"/>
    <w:rsid w:val="003637A3"/>
    <w:rsid w:val="00364A3C"/>
    <w:rsid w:val="00366C6B"/>
    <w:rsid w:val="00374330"/>
    <w:rsid w:val="00382885"/>
    <w:rsid w:val="0038340C"/>
    <w:rsid w:val="003928AA"/>
    <w:rsid w:val="00393E2C"/>
    <w:rsid w:val="003A7F77"/>
    <w:rsid w:val="003B2972"/>
    <w:rsid w:val="003D5DDA"/>
    <w:rsid w:val="003E16F1"/>
    <w:rsid w:val="003F07AF"/>
    <w:rsid w:val="003F14C3"/>
    <w:rsid w:val="003F33E2"/>
    <w:rsid w:val="0040035E"/>
    <w:rsid w:val="00400A0B"/>
    <w:rsid w:val="004021AD"/>
    <w:rsid w:val="00404A35"/>
    <w:rsid w:val="0041079A"/>
    <w:rsid w:val="0042145A"/>
    <w:rsid w:val="00421D6A"/>
    <w:rsid w:val="00424D28"/>
    <w:rsid w:val="00426A30"/>
    <w:rsid w:val="0043545E"/>
    <w:rsid w:val="004359C8"/>
    <w:rsid w:val="00447EA0"/>
    <w:rsid w:val="00453BD1"/>
    <w:rsid w:val="00456DCD"/>
    <w:rsid w:val="004607B6"/>
    <w:rsid w:val="004617F1"/>
    <w:rsid w:val="004627A6"/>
    <w:rsid w:val="004627D4"/>
    <w:rsid w:val="00463AAE"/>
    <w:rsid w:val="0047604B"/>
    <w:rsid w:val="00477316"/>
    <w:rsid w:val="004777F1"/>
    <w:rsid w:val="004A241C"/>
    <w:rsid w:val="004A4BDB"/>
    <w:rsid w:val="004C735E"/>
    <w:rsid w:val="004D4B26"/>
    <w:rsid w:val="004F3B38"/>
    <w:rsid w:val="004F7D1E"/>
    <w:rsid w:val="00511F72"/>
    <w:rsid w:val="00517F46"/>
    <w:rsid w:val="00520D7D"/>
    <w:rsid w:val="00542343"/>
    <w:rsid w:val="00557FE8"/>
    <w:rsid w:val="00561B34"/>
    <w:rsid w:val="005723BE"/>
    <w:rsid w:val="00576F0F"/>
    <w:rsid w:val="00583D81"/>
    <w:rsid w:val="00590235"/>
    <w:rsid w:val="005949ED"/>
    <w:rsid w:val="005A11F4"/>
    <w:rsid w:val="005A121C"/>
    <w:rsid w:val="005A45D3"/>
    <w:rsid w:val="005A7760"/>
    <w:rsid w:val="005D2AF4"/>
    <w:rsid w:val="005E0DF3"/>
    <w:rsid w:val="005E19B1"/>
    <w:rsid w:val="005E2F3A"/>
    <w:rsid w:val="005E484B"/>
    <w:rsid w:val="005F2BB2"/>
    <w:rsid w:val="005F782A"/>
    <w:rsid w:val="00604257"/>
    <w:rsid w:val="00613AC7"/>
    <w:rsid w:val="00614592"/>
    <w:rsid w:val="006201FA"/>
    <w:rsid w:val="00642193"/>
    <w:rsid w:val="0065503F"/>
    <w:rsid w:val="00660672"/>
    <w:rsid w:val="00662D5C"/>
    <w:rsid w:val="00664126"/>
    <w:rsid w:val="00667929"/>
    <w:rsid w:val="00677FA1"/>
    <w:rsid w:val="00682123"/>
    <w:rsid w:val="00686651"/>
    <w:rsid w:val="00686888"/>
    <w:rsid w:val="006A75D7"/>
    <w:rsid w:val="006B40D8"/>
    <w:rsid w:val="006C55A3"/>
    <w:rsid w:val="006D2805"/>
    <w:rsid w:val="006E2204"/>
    <w:rsid w:val="006E481A"/>
    <w:rsid w:val="006E7D90"/>
    <w:rsid w:val="006F0CA7"/>
    <w:rsid w:val="006F1218"/>
    <w:rsid w:val="00711AB4"/>
    <w:rsid w:val="007155F0"/>
    <w:rsid w:val="00716038"/>
    <w:rsid w:val="007173FF"/>
    <w:rsid w:val="00733CDD"/>
    <w:rsid w:val="00736880"/>
    <w:rsid w:val="00736FFA"/>
    <w:rsid w:val="007438A4"/>
    <w:rsid w:val="00745075"/>
    <w:rsid w:val="00756435"/>
    <w:rsid w:val="00757945"/>
    <w:rsid w:val="00762936"/>
    <w:rsid w:val="0077721B"/>
    <w:rsid w:val="007C4A1D"/>
    <w:rsid w:val="007F6F3F"/>
    <w:rsid w:val="00801803"/>
    <w:rsid w:val="00807F33"/>
    <w:rsid w:val="00817C03"/>
    <w:rsid w:val="00836BF6"/>
    <w:rsid w:val="0087348B"/>
    <w:rsid w:val="008750BC"/>
    <w:rsid w:val="008830C7"/>
    <w:rsid w:val="0089018C"/>
    <w:rsid w:val="008B07E9"/>
    <w:rsid w:val="008B4B4F"/>
    <w:rsid w:val="008B50F3"/>
    <w:rsid w:val="008B622F"/>
    <w:rsid w:val="008C6B91"/>
    <w:rsid w:val="008D02B2"/>
    <w:rsid w:val="008D7A0A"/>
    <w:rsid w:val="008E3CE4"/>
    <w:rsid w:val="008E5805"/>
    <w:rsid w:val="008F50A0"/>
    <w:rsid w:val="00941EEC"/>
    <w:rsid w:val="0097441B"/>
    <w:rsid w:val="00975733"/>
    <w:rsid w:val="0097775D"/>
    <w:rsid w:val="00996025"/>
    <w:rsid w:val="00996B82"/>
    <w:rsid w:val="009A1419"/>
    <w:rsid w:val="009A62A0"/>
    <w:rsid w:val="009A6FE8"/>
    <w:rsid w:val="009B4D56"/>
    <w:rsid w:val="009B58AA"/>
    <w:rsid w:val="009B5DB8"/>
    <w:rsid w:val="009D4F68"/>
    <w:rsid w:val="009E3D07"/>
    <w:rsid w:val="00A101EA"/>
    <w:rsid w:val="00A214B9"/>
    <w:rsid w:val="00A22735"/>
    <w:rsid w:val="00A40C48"/>
    <w:rsid w:val="00A41F08"/>
    <w:rsid w:val="00A44ED9"/>
    <w:rsid w:val="00A67218"/>
    <w:rsid w:val="00AB7A98"/>
    <w:rsid w:val="00AD3551"/>
    <w:rsid w:val="00AD4BBD"/>
    <w:rsid w:val="00AD4E90"/>
    <w:rsid w:val="00AE463C"/>
    <w:rsid w:val="00AE4D7C"/>
    <w:rsid w:val="00AF58E2"/>
    <w:rsid w:val="00B00C3D"/>
    <w:rsid w:val="00B22D2B"/>
    <w:rsid w:val="00B32AE3"/>
    <w:rsid w:val="00B52996"/>
    <w:rsid w:val="00B64251"/>
    <w:rsid w:val="00B70D5F"/>
    <w:rsid w:val="00B9090C"/>
    <w:rsid w:val="00B94177"/>
    <w:rsid w:val="00B97E2A"/>
    <w:rsid w:val="00BB4F1A"/>
    <w:rsid w:val="00BB7461"/>
    <w:rsid w:val="00BC3ED8"/>
    <w:rsid w:val="00BD51F7"/>
    <w:rsid w:val="00BE2108"/>
    <w:rsid w:val="00BE6818"/>
    <w:rsid w:val="00C242FA"/>
    <w:rsid w:val="00C258B1"/>
    <w:rsid w:val="00C261ED"/>
    <w:rsid w:val="00C27CB9"/>
    <w:rsid w:val="00C45C28"/>
    <w:rsid w:val="00C52A40"/>
    <w:rsid w:val="00C57809"/>
    <w:rsid w:val="00C57FC1"/>
    <w:rsid w:val="00C6144D"/>
    <w:rsid w:val="00C638EE"/>
    <w:rsid w:val="00C73B1A"/>
    <w:rsid w:val="00CA5F2C"/>
    <w:rsid w:val="00CB2FE8"/>
    <w:rsid w:val="00CB3383"/>
    <w:rsid w:val="00CC5F70"/>
    <w:rsid w:val="00CD22DD"/>
    <w:rsid w:val="00CD796E"/>
    <w:rsid w:val="00CE220B"/>
    <w:rsid w:val="00CE7F8D"/>
    <w:rsid w:val="00CF3D96"/>
    <w:rsid w:val="00CF5849"/>
    <w:rsid w:val="00CF64E7"/>
    <w:rsid w:val="00D0186B"/>
    <w:rsid w:val="00D0384B"/>
    <w:rsid w:val="00D103A6"/>
    <w:rsid w:val="00D12FDD"/>
    <w:rsid w:val="00D244DE"/>
    <w:rsid w:val="00D26AC2"/>
    <w:rsid w:val="00D31AFF"/>
    <w:rsid w:val="00D35F24"/>
    <w:rsid w:val="00D40790"/>
    <w:rsid w:val="00D53F02"/>
    <w:rsid w:val="00D54D77"/>
    <w:rsid w:val="00D729E7"/>
    <w:rsid w:val="00D7538F"/>
    <w:rsid w:val="00D75FCE"/>
    <w:rsid w:val="00D8181F"/>
    <w:rsid w:val="00D85472"/>
    <w:rsid w:val="00D93182"/>
    <w:rsid w:val="00D96F88"/>
    <w:rsid w:val="00DC005B"/>
    <w:rsid w:val="00DD3DF7"/>
    <w:rsid w:val="00E266FC"/>
    <w:rsid w:val="00E26B0C"/>
    <w:rsid w:val="00E37BAF"/>
    <w:rsid w:val="00E47A9E"/>
    <w:rsid w:val="00E523CB"/>
    <w:rsid w:val="00E90B37"/>
    <w:rsid w:val="00E9754D"/>
    <w:rsid w:val="00EC6E3A"/>
    <w:rsid w:val="00EC7CA8"/>
    <w:rsid w:val="00EF0685"/>
    <w:rsid w:val="00EF2317"/>
    <w:rsid w:val="00EF3AAD"/>
    <w:rsid w:val="00F07817"/>
    <w:rsid w:val="00F21D5D"/>
    <w:rsid w:val="00F23444"/>
    <w:rsid w:val="00F235A3"/>
    <w:rsid w:val="00F26801"/>
    <w:rsid w:val="00F36CD2"/>
    <w:rsid w:val="00F451E8"/>
    <w:rsid w:val="00F575F4"/>
    <w:rsid w:val="00F61365"/>
    <w:rsid w:val="00F650D2"/>
    <w:rsid w:val="00F802EF"/>
    <w:rsid w:val="00F9121A"/>
    <w:rsid w:val="00F92043"/>
    <w:rsid w:val="00FA0520"/>
    <w:rsid w:val="00FA28DE"/>
    <w:rsid w:val="00FB12A8"/>
    <w:rsid w:val="00FB3550"/>
    <w:rsid w:val="00FB4452"/>
    <w:rsid w:val="00FC3003"/>
    <w:rsid w:val="00FD4931"/>
    <w:rsid w:val="00FE209E"/>
    <w:rsid w:val="00FE5455"/>
    <w:rsid w:val="00FF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3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412B5"/>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6038"/>
    <w:pPr>
      <w:spacing w:after="120"/>
      <w:ind w:left="283"/>
    </w:pPr>
  </w:style>
  <w:style w:type="character" w:customStyle="1" w:styleId="a4">
    <w:name w:val="Основной текст с отступом Знак"/>
    <w:basedOn w:val="a0"/>
    <w:link w:val="a3"/>
    <w:rsid w:val="00716038"/>
    <w:rPr>
      <w:rFonts w:ascii="Times New Roman" w:eastAsia="Times New Roman" w:hAnsi="Times New Roman" w:cs="Times New Roman"/>
      <w:sz w:val="28"/>
      <w:szCs w:val="28"/>
      <w:lang w:eastAsia="ru-RU"/>
    </w:rPr>
  </w:style>
  <w:style w:type="paragraph" w:styleId="a5">
    <w:name w:val="List Paragraph"/>
    <w:basedOn w:val="a"/>
    <w:uiPriority w:val="34"/>
    <w:qFormat/>
    <w:rsid w:val="00716038"/>
    <w:pPr>
      <w:ind w:left="720"/>
      <w:contextualSpacing/>
    </w:pPr>
    <w:rPr>
      <w:sz w:val="24"/>
      <w:szCs w:val="24"/>
    </w:rPr>
  </w:style>
  <w:style w:type="paragraph" w:styleId="a6">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
    <w:uiPriority w:val="99"/>
    <w:qFormat/>
    <w:rsid w:val="00716038"/>
    <w:pPr>
      <w:spacing w:before="100" w:beforeAutospacing="1" w:after="100" w:afterAutospacing="1"/>
    </w:pPr>
    <w:rPr>
      <w:sz w:val="24"/>
      <w:szCs w:val="24"/>
    </w:rPr>
  </w:style>
  <w:style w:type="character" w:styleId="a7">
    <w:name w:val="Strong"/>
    <w:basedOn w:val="a0"/>
    <w:uiPriority w:val="22"/>
    <w:qFormat/>
    <w:rsid w:val="00716038"/>
    <w:rPr>
      <w:b/>
      <w:bCs/>
    </w:rPr>
  </w:style>
  <w:style w:type="paragraph" w:styleId="a8">
    <w:name w:val="Balloon Text"/>
    <w:basedOn w:val="a"/>
    <w:link w:val="a9"/>
    <w:uiPriority w:val="99"/>
    <w:semiHidden/>
    <w:unhideWhenUsed/>
    <w:rsid w:val="006C55A3"/>
    <w:rPr>
      <w:rFonts w:ascii="Tahoma" w:hAnsi="Tahoma" w:cs="Tahoma"/>
      <w:sz w:val="16"/>
      <w:szCs w:val="16"/>
    </w:rPr>
  </w:style>
  <w:style w:type="character" w:customStyle="1" w:styleId="a9">
    <w:name w:val="Текст выноски Знак"/>
    <w:basedOn w:val="a0"/>
    <w:link w:val="a8"/>
    <w:uiPriority w:val="99"/>
    <w:semiHidden/>
    <w:rsid w:val="006C55A3"/>
    <w:rPr>
      <w:rFonts w:ascii="Tahoma" w:eastAsia="Times New Roman" w:hAnsi="Tahoma" w:cs="Tahoma"/>
      <w:sz w:val="16"/>
      <w:szCs w:val="16"/>
      <w:lang w:eastAsia="ru-RU"/>
    </w:rPr>
  </w:style>
  <w:style w:type="character" w:customStyle="1" w:styleId="10">
    <w:name w:val="Заголовок 1 Знак"/>
    <w:basedOn w:val="a0"/>
    <w:link w:val="1"/>
    <w:rsid w:val="002412B5"/>
    <w:rPr>
      <w:rFonts w:asciiTheme="majorHAnsi" w:eastAsiaTheme="majorEastAsia" w:hAnsiTheme="majorHAnsi" w:cstheme="majorBidi"/>
      <w:b/>
      <w:bCs/>
      <w:color w:val="365F91" w:themeColor="accent1" w:themeShade="BF"/>
      <w:sz w:val="28"/>
      <w:szCs w:val="28"/>
      <w:lang w:eastAsia="ru-RU"/>
    </w:rPr>
  </w:style>
  <w:style w:type="paragraph" w:styleId="aa">
    <w:name w:val="No Spacing"/>
    <w:link w:val="ab"/>
    <w:uiPriority w:val="1"/>
    <w:qFormat/>
    <w:rsid w:val="002412B5"/>
    <w:pPr>
      <w:spacing w:after="0" w:line="240" w:lineRule="auto"/>
    </w:pPr>
    <w:rPr>
      <w:rFonts w:ascii="Times New Roman" w:eastAsia="Calibri" w:hAnsi="Times New Roman" w:cs="Times New Roman"/>
      <w:sz w:val="24"/>
    </w:rPr>
  </w:style>
  <w:style w:type="paragraph" w:styleId="ac">
    <w:name w:val="Body Text"/>
    <w:basedOn w:val="a"/>
    <w:link w:val="ad"/>
    <w:rsid w:val="002412B5"/>
    <w:pPr>
      <w:spacing w:after="120"/>
    </w:pPr>
    <w:rPr>
      <w:sz w:val="24"/>
      <w:szCs w:val="24"/>
    </w:rPr>
  </w:style>
  <w:style w:type="character" w:customStyle="1" w:styleId="ad">
    <w:name w:val="Основной текст Знак"/>
    <w:basedOn w:val="a0"/>
    <w:link w:val="ac"/>
    <w:rsid w:val="002412B5"/>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2412B5"/>
    <w:rPr>
      <w:rFonts w:ascii="Times New Roman" w:eastAsia="Calibri" w:hAnsi="Times New Roman" w:cs="Times New Roman"/>
      <w:sz w:val="24"/>
    </w:rPr>
  </w:style>
  <w:style w:type="paragraph" w:customStyle="1" w:styleId="Style3">
    <w:name w:val="Style3"/>
    <w:basedOn w:val="a"/>
    <w:uiPriority w:val="99"/>
    <w:rsid w:val="001A4029"/>
    <w:pPr>
      <w:widowControl w:val="0"/>
      <w:autoSpaceDE w:val="0"/>
      <w:autoSpaceDN w:val="0"/>
      <w:adjustRightInd w:val="0"/>
    </w:pPr>
    <w:rPr>
      <w:sz w:val="24"/>
      <w:szCs w:val="24"/>
    </w:rPr>
  </w:style>
  <w:style w:type="paragraph" w:customStyle="1" w:styleId="news">
    <w:name w:val="news"/>
    <w:basedOn w:val="a"/>
    <w:rsid w:val="001A4029"/>
    <w:pPr>
      <w:widowControl w:val="0"/>
      <w:suppressAutoHyphens/>
      <w:spacing w:before="150" w:after="150"/>
      <w:ind w:left="150" w:right="150" w:firstLine="225"/>
      <w:jc w:val="both"/>
    </w:pPr>
    <w:rPr>
      <w:rFonts w:ascii="Verdana" w:hAnsi="Verdana" w:cs="Verdana"/>
      <w:kern w:val="1"/>
      <w:sz w:val="20"/>
      <w:szCs w:val="20"/>
    </w:rPr>
  </w:style>
  <w:style w:type="paragraph" w:customStyle="1" w:styleId="ConsPlusNormal">
    <w:name w:val="ConsPlusNormal"/>
    <w:rsid w:val="001A402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1A40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e">
    <w:name w:val="Table Grid"/>
    <w:basedOn w:val="a1"/>
    <w:uiPriority w:val="59"/>
    <w:rsid w:val="001A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 Знак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
    <w:link w:val="a6"/>
    <w:uiPriority w:val="99"/>
    <w:rsid w:val="00311C12"/>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0A332C"/>
    <w:pPr>
      <w:tabs>
        <w:tab w:val="center" w:pos="4677"/>
        <w:tab w:val="right" w:pos="9355"/>
      </w:tabs>
    </w:pPr>
  </w:style>
  <w:style w:type="character" w:customStyle="1" w:styleId="af0">
    <w:name w:val="Верхний колонтитул Знак"/>
    <w:basedOn w:val="a0"/>
    <w:link w:val="af"/>
    <w:uiPriority w:val="99"/>
    <w:rsid w:val="000A332C"/>
    <w:rPr>
      <w:rFonts w:ascii="Times New Roman" w:eastAsia="Times New Roman" w:hAnsi="Times New Roman" w:cs="Times New Roman"/>
      <w:sz w:val="28"/>
      <w:szCs w:val="28"/>
      <w:lang w:eastAsia="ru-RU"/>
    </w:rPr>
  </w:style>
  <w:style w:type="paragraph" w:styleId="af1">
    <w:name w:val="footer"/>
    <w:basedOn w:val="a"/>
    <w:link w:val="af2"/>
    <w:uiPriority w:val="99"/>
    <w:unhideWhenUsed/>
    <w:rsid w:val="000A332C"/>
    <w:pPr>
      <w:tabs>
        <w:tab w:val="center" w:pos="4677"/>
        <w:tab w:val="right" w:pos="9355"/>
      </w:tabs>
    </w:pPr>
  </w:style>
  <w:style w:type="character" w:customStyle="1" w:styleId="af2">
    <w:name w:val="Нижний колонтитул Знак"/>
    <w:basedOn w:val="a0"/>
    <w:link w:val="af1"/>
    <w:uiPriority w:val="99"/>
    <w:rsid w:val="000A332C"/>
    <w:rPr>
      <w:rFonts w:ascii="Times New Roman" w:eastAsia="Times New Roman" w:hAnsi="Times New Roman" w:cs="Times New Roman"/>
      <w:sz w:val="28"/>
      <w:szCs w:val="28"/>
      <w:lang w:eastAsia="ru-RU"/>
    </w:rPr>
  </w:style>
  <w:style w:type="paragraph" w:customStyle="1" w:styleId="11">
    <w:name w:val="Цитата1"/>
    <w:basedOn w:val="Standard"/>
    <w:rsid w:val="003F14C3"/>
    <w:pPr>
      <w:widowControl/>
      <w:autoSpaceDN/>
      <w:ind w:left="-540" w:right="-185"/>
      <w:jc w:val="center"/>
    </w:pPr>
    <w:rPr>
      <w:rFonts w:ascii="Batang" w:eastAsia="Batang" w:hAnsi="Batang" w:cs="Batang"/>
      <w:kern w:val="1"/>
      <w:sz w:val="28"/>
      <w:szCs w:val="28"/>
      <w:lang w:eastAsia="ar-SA" w:bidi="ar-SA"/>
    </w:rPr>
  </w:style>
  <w:style w:type="paragraph" w:customStyle="1" w:styleId="12">
    <w:name w:val="Абзац списка1"/>
    <w:basedOn w:val="a"/>
    <w:uiPriority w:val="34"/>
    <w:qFormat/>
    <w:rsid w:val="003F33E2"/>
    <w:pPr>
      <w:spacing w:after="200" w:line="276" w:lineRule="auto"/>
      <w:ind w:left="720"/>
      <w:contextualSpacing/>
    </w:pPr>
    <w:rPr>
      <w:rFonts w:ascii="Calibri" w:hAnsi="Calibri"/>
      <w:sz w:val="22"/>
      <w:szCs w:val="22"/>
      <w:lang w:eastAsia="en-US"/>
    </w:rPr>
  </w:style>
  <w:style w:type="paragraph" w:customStyle="1" w:styleId="Style4">
    <w:name w:val="Style4"/>
    <w:basedOn w:val="a"/>
    <w:uiPriority w:val="99"/>
    <w:rsid w:val="00275F8B"/>
    <w:pPr>
      <w:widowControl w:val="0"/>
      <w:autoSpaceDE w:val="0"/>
      <w:autoSpaceDN w:val="0"/>
      <w:adjustRightInd w:val="0"/>
      <w:spacing w:line="322" w:lineRule="exact"/>
      <w:ind w:firstLine="706"/>
    </w:pPr>
    <w:rPr>
      <w:sz w:val="24"/>
      <w:szCs w:val="24"/>
    </w:rPr>
  </w:style>
  <w:style w:type="character" w:customStyle="1" w:styleId="FontStyle20">
    <w:name w:val="Font Style20"/>
    <w:uiPriority w:val="99"/>
    <w:qFormat/>
    <w:rsid w:val="00275F8B"/>
    <w:rPr>
      <w:rFonts w:ascii="Times New Roman" w:hAnsi="Times New Roman" w:cs="Times New Roman"/>
      <w:color w:val="000000"/>
      <w:sz w:val="26"/>
      <w:szCs w:val="26"/>
    </w:rPr>
  </w:style>
  <w:style w:type="character" w:customStyle="1" w:styleId="FontStyle19">
    <w:name w:val="Font Style19"/>
    <w:uiPriority w:val="99"/>
    <w:rsid w:val="00275F8B"/>
    <w:rPr>
      <w:rFonts w:ascii="Times New Roman" w:hAnsi="Times New Roman" w:cs="Times New Roman"/>
      <w:b/>
      <w:bCs/>
      <w:color w:val="000000"/>
      <w:sz w:val="26"/>
      <w:szCs w:val="26"/>
    </w:rPr>
  </w:style>
  <w:style w:type="paragraph" w:customStyle="1" w:styleId="Style1">
    <w:name w:val="Style1"/>
    <w:basedOn w:val="a"/>
    <w:uiPriority w:val="99"/>
    <w:qFormat/>
    <w:rsid w:val="00275F8B"/>
    <w:pPr>
      <w:widowControl w:val="0"/>
      <w:autoSpaceDE w:val="0"/>
      <w:autoSpaceDN w:val="0"/>
      <w:adjustRightInd w:val="0"/>
      <w:spacing w:line="329" w:lineRule="exact"/>
    </w:pPr>
    <w:rPr>
      <w:rFonts w:eastAsiaTheme="minorEastAsia"/>
      <w:sz w:val="24"/>
      <w:szCs w:val="24"/>
    </w:rPr>
  </w:style>
  <w:style w:type="paragraph" w:customStyle="1" w:styleId="Default">
    <w:name w:val="Default"/>
    <w:rsid w:val="00275F8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pc">
    <w:name w:val="pc"/>
    <w:basedOn w:val="a"/>
    <w:rsid w:val="00807F33"/>
    <w:pPr>
      <w:spacing w:before="100" w:beforeAutospacing="1" w:after="100" w:afterAutospacing="1"/>
    </w:pPr>
    <w:rPr>
      <w:sz w:val="24"/>
      <w:szCs w:val="24"/>
    </w:rPr>
  </w:style>
  <w:style w:type="character" w:styleId="af3">
    <w:name w:val="Hyperlink"/>
    <w:basedOn w:val="a0"/>
    <w:uiPriority w:val="99"/>
    <w:semiHidden/>
    <w:unhideWhenUsed/>
    <w:rsid w:val="00CF3D96"/>
    <w:rPr>
      <w:color w:val="0000FF"/>
      <w:u w:val="single"/>
    </w:rPr>
  </w:style>
  <w:style w:type="character" w:customStyle="1" w:styleId="apple-converted-space">
    <w:name w:val="apple-converted-space"/>
    <w:basedOn w:val="a0"/>
    <w:rsid w:val="00D35F24"/>
  </w:style>
  <w:style w:type="numbering" w:customStyle="1" w:styleId="WWNum1">
    <w:name w:val="WWNum1"/>
    <w:basedOn w:val="a2"/>
    <w:rsid w:val="006B40D8"/>
    <w:pPr>
      <w:numPr>
        <w:numId w:val="10"/>
      </w:numPr>
    </w:pPr>
  </w:style>
  <w:style w:type="paragraph" w:customStyle="1" w:styleId="paragraph">
    <w:name w:val="paragraph"/>
    <w:basedOn w:val="a"/>
    <w:rsid w:val="00463AAE"/>
    <w:pPr>
      <w:spacing w:before="100" w:beforeAutospacing="1" w:after="100" w:afterAutospacing="1"/>
    </w:pPr>
    <w:rPr>
      <w:sz w:val="24"/>
      <w:szCs w:val="24"/>
    </w:rPr>
  </w:style>
  <w:style w:type="character" w:customStyle="1" w:styleId="normaltextrun">
    <w:name w:val="normaltextrun"/>
    <w:basedOn w:val="a0"/>
    <w:rsid w:val="00463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3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412B5"/>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6038"/>
    <w:pPr>
      <w:spacing w:after="120"/>
      <w:ind w:left="283"/>
    </w:pPr>
  </w:style>
  <w:style w:type="character" w:customStyle="1" w:styleId="a4">
    <w:name w:val="Основной текст с отступом Знак"/>
    <w:basedOn w:val="a0"/>
    <w:link w:val="a3"/>
    <w:rsid w:val="00716038"/>
    <w:rPr>
      <w:rFonts w:ascii="Times New Roman" w:eastAsia="Times New Roman" w:hAnsi="Times New Roman" w:cs="Times New Roman"/>
      <w:sz w:val="28"/>
      <w:szCs w:val="28"/>
      <w:lang w:eastAsia="ru-RU"/>
    </w:rPr>
  </w:style>
  <w:style w:type="paragraph" w:styleId="a5">
    <w:name w:val="List Paragraph"/>
    <w:basedOn w:val="a"/>
    <w:uiPriority w:val="34"/>
    <w:qFormat/>
    <w:rsid w:val="00716038"/>
    <w:pPr>
      <w:ind w:left="720"/>
      <w:contextualSpacing/>
    </w:pPr>
    <w:rPr>
      <w:sz w:val="24"/>
      <w:szCs w:val="24"/>
    </w:rPr>
  </w:style>
  <w:style w:type="paragraph" w:styleId="a6">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
    <w:uiPriority w:val="99"/>
    <w:qFormat/>
    <w:rsid w:val="00716038"/>
    <w:pPr>
      <w:spacing w:before="100" w:beforeAutospacing="1" w:after="100" w:afterAutospacing="1"/>
    </w:pPr>
    <w:rPr>
      <w:sz w:val="24"/>
      <w:szCs w:val="24"/>
    </w:rPr>
  </w:style>
  <w:style w:type="character" w:styleId="a7">
    <w:name w:val="Strong"/>
    <w:basedOn w:val="a0"/>
    <w:uiPriority w:val="22"/>
    <w:qFormat/>
    <w:rsid w:val="00716038"/>
    <w:rPr>
      <w:b/>
      <w:bCs/>
    </w:rPr>
  </w:style>
  <w:style w:type="paragraph" w:styleId="a8">
    <w:name w:val="Balloon Text"/>
    <w:basedOn w:val="a"/>
    <w:link w:val="a9"/>
    <w:uiPriority w:val="99"/>
    <w:semiHidden/>
    <w:unhideWhenUsed/>
    <w:rsid w:val="006C55A3"/>
    <w:rPr>
      <w:rFonts w:ascii="Tahoma" w:hAnsi="Tahoma" w:cs="Tahoma"/>
      <w:sz w:val="16"/>
      <w:szCs w:val="16"/>
    </w:rPr>
  </w:style>
  <w:style w:type="character" w:customStyle="1" w:styleId="a9">
    <w:name w:val="Текст выноски Знак"/>
    <w:basedOn w:val="a0"/>
    <w:link w:val="a8"/>
    <w:uiPriority w:val="99"/>
    <w:semiHidden/>
    <w:rsid w:val="006C55A3"/>
    <w:rPr>
      <w:rFonts w:ascii="Tahoma" w:eastAsia="Times New Roman" w:hAnsi="Tahoma" w:cs="Tahoma"/>
      <w:sz w:val="16"/>
      <w:szCs w:val="16"/>
      <w:lang w:eastAsia="ru-RU"/>
    </w:rPr>
  </w:style>
  <w:style w:type="character" w:customStyle="1" w:styleId="10">
    <w:name w:val="Заголовок 1 Знак"/>
    <w:basedOn w:val="a0"/>
    <w:link w:val="1"/>
    <w:rsid w:val="002412B5"/>
    <w:rPr>
      <w:rFonts w:asciiTheme="majorHAnsi" w:eastAsiaTheme="majorEastAsia" w:hAnsiTheme="majorHAnsi" w:cstheme="majorBidi"/>
      <w:b/>
      <w:bCs/>
      <w:color w:val="365F91" w:themeColor="accent1" w:themeShade="BF"/>
      <w:sz w:val="28"/>
      <w:szCs w:val="28"/>
      <w:lang w:eastAsia="ru-RU"/>
    </w:rPr>
  </w:style>
  <w:style w:type="paragraph" w:styleId="aa">
    <w:name w:val="No Spacing"/>
    <w:link w:val="ab"/>
    <w:uiPriority w:val="1"/>
    <w:qFormat/>
    <w:rsid w:val="002412B5"/>
    <w:pPr>
      <w:spacing w:after="0" w:line="240" w:lineRule="auto"/>
    </w:pPr>
    <w:rPr>
      <w:rFonts w:ascii="Times New Roman" w:eastAsia="Calibri" w:hAnsi="Times New Roman" w:cs="Times New Roman"/>
      <w:sz w:val="24"/>
    </w:rPr>
  </w:style>
  <w:style w:type="paragraph" w:styleId="ac">
    <w:name w:val="Body Text"/>
    <w:basedOn w:val="a"/>
    <w:link w:val="ad"/>
    <w:rsid w:val="002412B5"/>
    <w:pPr>
      <w:spacing w:after="120"/>
    </w:pPr>
    <w:rPr>
      <w:sz w:val="24"/>
      <w:szCs w:val="24"/>
    </w:rPr>
  </w:style>
  <w:style w:type="character" w:customStyle="1" w:styleId="ad">
    <w:name w:val="Основной текст Знак"/>
    <w:basedOn w:val="a0"/>
    <w:link w:val="ac"/>
    <w:rsid w:val="002412B5"/>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2412B5"/>
    <w:rPr>
      <w:rFonts w:ascii="Times New Roman" w:eastAsia="Calibri" w:hAnsi="Times New Roman" w:cs="Times New Roman"/>
      <w:sz w:val="24"/>
    </w:rPr>
  </w:style>
  <w:style w:type="paragraph" w:customStyle="1" w:styleId="Style3">
    <w:name w:val="Style3"/>
    <w:basedOn w:val="a"/>
    <w:uiPriority w:val="99"/>
    <w:rsid w:val="001A4029"/>
    <w:pPr>
      <w:widowControl w:val="0"/>
      <w:autoSpaceDE w:val="0"/>
      <w:autoSpaceDN w:val="0"/>
      <w:adjustRightInd w:val="0"/>
    </w:pPr>
    <w:rPr>
      <w:sz w:val="24"/>
      <w:szCs w:val="24"/>
    </w:rPr>
  </w:style>
  <w:style w:type="paragraph" w:customStyle="1" w:styleId="news">
    <w:name w:val="news"/>
    <w:basedOn w:val="a"/>
    <w:rsid w:val="001A4029"/>
    <w:pPr>
      <w:widowControl w:val="0"/>
      <w:suppressAutoHyphens/>
      <w:spacing w:before="150" w:after="150"/>
      <w:ind w:left="150" w:right="150" w:firstLine="225"/>
      <w:jc w:val="both"/>
    </w:pPr>
    <w:rPr>
      <w:rFonts w:ascii="Verdana" w:hAnsi="Verdana" w:cs="Verdana"/>
      <w:kern w:val="1"/>
      <w:sz w:val="20"/>
      <w:szCs w:val="20"/>
    </w:rPr>
  </w:style>
  <w:style w:type="paragraph" w:customStyle="1" w:styleId="ConsPlusNormal">
    <w:name w:val="ConsPlusNormal"/>
    <w:rsid w:val="001A402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1A40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e">
    <w:name w:val="Table Grid"/>
    <w:basedOn w:val="a1"/>
    <w:uiPriority w:val="59"/>
    <w:rsid w:val="001A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 Знак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
    <w:link w:val="a6"/>
    <w:uiPriority w:val="99"/>
    <w:rsid w:val="00311C12"/>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0A332C"/>
    <w:pPr>
      <w:tabs>
        <w:tab w:val="center" w:pos="4677"/>
        <w:tab w:val="right" w:pos="9355"/>
      </w:tabs>
    </w:pPr>
  </w:style>
  <w:style w:type="character" w:customStyle="1" w:styleId="af0">
    <w:name w:val="Верхний колонтитул Знак"/>
    <w:basedOn w:val="a0"/>
    <w:link w:val="af"/>
    <w:uiPriority w:val="99"/>
    <w:rsid w:val="000A332C"/>
    <w:rPr>
      <w:rFonts w:ascii="Times New Roman" w:eastAsia="Times New Roman" w:hAnsi="Times New Roman" w:cs="Times New Roman"/>
      <w:sz w:val="28"/>
      <w:szCs w:val="28"/>
      <w:lang w:eastAsia="ru-RU"/>
    </w:rPr>
  </w:style>
  <w:style w:type="paragraph" w:styleId="af1">
    <w:name w:val="footer"/>
    <w:basedOn w:val="a"/>
    <w:link w:val="af2"/>
    <w:uiPriority w:val="99"/>
    <w:unhideWhenUsed/>
    <w:rsid w:val="000A332C"/>
    <w:pPr>
      <w:tabs>
        <w:tab w:val="center" w:pos="4677"/>
        <w:tab w:val="right" w:pos="9355"/>
      </w:tabs>
    </w:pPr>
  </w:style>
  <w:style w:type="character" w:customStyle="1" w:styleId="af2">
    <w:name w:val="Нижний колонтитул Знак"/>
    <w:basedOn w:val="a0"/>
    <w:link w:val="af1"/>
    <w:uiPriority w:val="99"/>
    <w:rsid w:val="000A332C"/>
    <w:rPr>
      <w:rFonts w:ascii="Times New Roman" w:eastAsia="Times New Roman" w:hAnsi="Times New Roman" w:cs="Times New Roman"/>
      <w:sz w:val="28"/>
      <w:szCs w:val="28"/>
      <w:lang w:eastAsia="ru-RU"/>
    </w:rPr>
  </w:style>
  <w:style w:type="paragraph" w:customStyle="1" w:styleId="11">
    <w:name w:val="Цитата1"/>
    <w:basedOn w:val="Standard"/>
    <w:rsid w:val="003F14C3"/>
    <w:pPr>
      <w:widowControl/>
      <w:autoSpaceDN/>
      <w:ind w:left="-540" w:right="-185"/>
      <w:jc w:val="center"/>
    </w:pPr>
    <w:rPr>
      <w:rFonts w:ascii="Batang" w:eastAsia="Batang" w:hAnsi="Batang" w:cs="Batang"/>
      <w:kern w:val="1"/>
      <w:sz w:val="28"/>
      <w:szCs w:val="28"/>
      <w:lang w:eastAsia="ar-SA" w:bidi="ar-SA"/>
    </w:rPr>
  </w:style>
  <w:style w:type="paragraph" w:customStyle="1" w:styleId="12">
    <w:name w:val="Абзац списка1"/>
    <w:basedOn w:val="a"/>
    <w:uiPriority w:val="34"/>
    <w:qFormat/>
    <w:rsid w:val="003F33E2"/>
    <w:pPr>
      <w:spacing w:after="200" w:line="276" w:lineRule="auto"/>
      <w:ind w:left="720"/>
      <w:contextualSpacing/>
    </w:pPr>
    <w:rPr>
      <w:rFonts w:ascii="Calibri" w:hAnsi="Calibri"/>
      <w:sz w:val="22"/>
      <w:szCs w:val="22"/>
      <w:lang w:eastAsia="en-US"/>
    </w:rPr>
  </w:style>
  <w:style w:type="paragraph" w:customStyle="1" w:styleId="Style4">
    <w:name w:val="Style4"/>
    <w:basedOn w:val="a"/>
    <w:uiPriority w:val="99"/>
    <w:rsid w:val="00275F8B"/>
    <w:pPr>
      <w:widowControl w:val="0"/>
      <w:autoSpaceDE w:val="0"/>
      <w:autoSpaceDN w:val="0"/>
      <w:adjustRightInd w:val="0"/>
      <w:spacing w:line="322" w:lineRule="exact"/>
      <w:ind w:firstLine="706"/>
    </w:pPr>
    <w:rPr>
      <w:sz w:val="24"/>
      <w:szCs w:val="24"/>
    </w:rPr>
  </w:style>
  <w:style w:type="character" w:customStyle="1" w:styleId="FontStyle20">
    <w:name w:val="Font Style20"/>
    <w:uiPriority w:val="99"/>
    <w:qFormat/>
    <w:rsid w:val="00275F8B"/>
    <w:rPr>
      <w:rFonts w:ascii="Times New Roman" w:hAnsi="Times New Roman" w:cs="Times New Roman"/>
      <w:color w:val="000000"/>
      <w:sz w:val="26"/>
      <w:szCs w:val="26"/>
    </w:rPr>
  </w:style>
  <w:style w:type="character" w:customStyle="1" w:styleId="FontStyle19">
    <w:name w:val="Font Style19"/>
    <w:uiPriority w:val="99"/>
    <w:rsid w:val="00275F8B"/>
    <w:rPr>
      <w:rFonts w:ascii="Times New Roman" w:hAnsi="Times New Roman" w:cs="Times New Roman"/>
      <w:b/>
      <w:bCs/>
      <w:color w:val="000000"/>
      <w:sz w:val="26"/>
      <w:szCs w:val="26"/>
    </w:rPr>
  </w:style>
  <w:style w:type="paragraph" w:customStyle="1" w:styleId="Style1">
    <w:name w:val="Style1"/>
    <w:basedOn w:val="a"/>
    <w:uiPriority w:val="99"/>
    <w:qFormat/>
    <w:rsid w:val="00275F8B"/>
    <w:pPr>
      <w:widowControl w:val="0"/>
      <w:autoSpaceDE w:val="0"/>
      <w:autoSpaceDN w:val="0"/>
      <w:adjustRightInd w:val="0"/>
      <w:spacing w:line="329" w:lineRule="exact"/>
    </w:pPr>
    <w:rPr>
      <w:rFonts w:eastAsiaTheme="minorEastAsia"/>
      <w:sz w:val="24"/>
      <w:szCs w:val="24"/>
    </w:rPr>
  </w:style>
  <w:style w:type="paragraph" w:customStyle="1" w:styleId="Default">
    <w:name w:val="Default"/>
    <w:rsid w:val="00275F8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pc">
    <w:name w:val="pc"/>
    <w:basedOn w:val="a"/>
    <w:rsid w:val="00807F33"/>
    <w:pPr>
      <w:spacing w:before="100" w:beforeAutospacing="1" w:after="100" w:afterAutospacing="1"/>
    </w:pPr>
    <w:rPr>
      <w:sz w:val="24"/>
      <w:szCs w:val="24"/>
    </w:rPr>
  </w:style>
  <w:style w:type="character" w:styleId="af3">
    <w:name w:val="Hyperlink"/>
    <w:basedOn w:val="a0"/>
    <w:uiPriority w:val="99"/>
    <w:semiHidden/>
    <w:unhideWhenUsed/>
    <w:rsid w:val="00CF3D96"/>
    <w:rPr>
      <w:color w:val="0000FF"/>
      <w:u w:val="single"/>
    </w:rPr>
  </w:style>
  <w:style w:type="character" w:customStyle="1" w:styleId="apple-converted-space">
    <w:name w:val="apple-converted-space"/>
    <w:basedOn w:val="a0"/>
    <w:rsid w:val="00D35F24"/>
  </w:style>
  <w:style w:type="numbering" w:customStyle="1" w:styleId="WWNum1">
    <w:name w:val="WWNum1"/>
    <w:basedOn w:val="a2"/>
    <w:rsid w:val="006B40D8"/>
    <w:pPr>
      <w:numPr>
        <w:numId w:val="10"/>
      </w:numPr>
    </w:pPr>
  </w:style>
  <w:style w:type="paragraph" w:customStyle="1" w:styleId="paragraph">
    <w:name w:val="paragraph"/>
    <w:basedOn w:val="a"/>
    <w:rsid w:val="00463AAE"/>
    <w:pPr>
      <w:spacing w:before="100" w:beforeAutospacing="1" w:after="100" w:afterAutospacing="1"/>
    </w:pPr>
    <w:rPr>
      <w:sz w:val="24"/>
      <w:szCs w:val="24"/>
    </w:rPr>
  </w:style>
  <w:style w:type="character" w:customStyle="1" w:styleId="normaltextrun">
    <w:name w:val="normaltextrun"/>
    <w:basedOn w:val="a0"/>
    <w:rsid w:val="0046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11073">
      <w:bodyDiv w:val="1"/>
      <w:marLeft w:val="0"/>
      <w:marRight w:val="0"/>
      <w:marTop w:val="0"/>
      <w:marBottom w:val="0"/>
      <w:divBdr>
        <w:top w:val="none" w:sz="0" w:space="0" w:color="auto"/>
        <w:left w:val="none" w:sz="0" w:space="0" w:color="auto"/>
        <w:bottom w:val="none" w:sz="0" w:space="0" w:color="auto"/>
        <w:right w:val="none" w:sz="0" w:space="0" w:color="auto"/>
      </w:divBdr>
    </w:div>
    <w:div w:id="356808020">
      <w:bodyDiv w:val="1"/>
      <w:marLeft w:val="0"/>
      <w:marRight w:val="0"/>
      <w:marTop w:val="0"/>
      <w:marBottom w:val="0"/>
      <w:divBdr>
        <w:top w:val="none" w:sz="0" w:space="0" w:color="auto"/>
        <w:left w:val="none" w:sz="0" w:space="0" w:color="auto"/>
        <w:bottom w:val="none" w:sz="0" w:space="0" w:color="auto"/>
        <w:right w:val="none" w:sz="0" w:space="0" w:color="auto"/>
      </w:divBdr>
    </w:div>
    <w:div w:id="455681686">
      <w:bodyDiv w:val="1"/>
      <w:marLeft w:val="0"/>
      <w:marRight w:val="0"/>
      <w:marTop w:val="0"/>
      <w:marBottom w:val="0"/>
      <w:divBdr>
        <w:top w:val="none" w:sz="0" w:space="0" w:color="auto"/>
        <w:left w:val="none" w:sz="0" w:space="0" w:color="auto"/>
        <w:bottom w:val="none" w:sz="0" w:space="0" w:color="auto"/>
        <w:right w:val="none" w:sz="0" w:space="0" w:color="auto"/>
      </w:divBdr>
    </w:div>
    <w:div w:id="1927229539">
      <w:bodyDiv w:val="1"/>
      <w:marLeft w:val="0"/>
      <w:marRight w:val="0"/>
      <w:marTop w:val="0"/>
      <w:marBottom w:val="0"/>
      <w:divBdr>
        <w:top w:val="none" w:sz="0" w:space="0" w:color="auto"/>
        <w:left w:val="none" w:sz="0" w:space="0" w:color="auto"/>
        <w:bottom w:val="none" w:sz="0" w:space="0" w:color="auto"/>
        <w:right w:val="none" w:sz="0" w:space="0" w:color="auto"/>
      </w:divBdr>
    </w:div>
    <w:div w:id="19797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3265-0B8C-4D3B-A65A-B2F53946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19</Pages>
  <Words>6766</Words>
  <Characters>38569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Гужвина</dc:creator>
  <cp:lastModifiedBy>Yr</cp:lastModifiedBy>
  <cp:revision>18</cp:revision>
  <cp:lastPrinted>2019-09-13T08:53:00Z</cp:lastPrinted>
  <dcterms:created xsi:type="dcterms:W3CDTF">2019-07-12T10:54:00Z</dcterms:created>
  <dcterms:modified xsi:type="dcterms:W3CDTF">2019-09-13T08:54:00Z</dcterms:modified>
</cp:coreProperties>
</file>