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46" w:rsidRDefault="00C75A76">
      <w:pPr>
        <w:pStyle w:val="Textbody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</w:p>
    <w:p w:rsidR="00A31646" w:rsidRDefault="00C75A7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A31646" w:rsidRDefault="00C75A7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ВЫПОЛНЕНИЮ МЕРОПРИЯТИЙ («ДОРОЖНОЙ КАРТЫ»)</w:t>
      </w:r>
    </w:p>
    <w:p w:rsidR="00A31646" w:rsidRDefault="00C75A7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</w:t>
      </w:r>
      <w:r>
        <w:rPr>
          <w:rFonts w:ascii="Times New Roman" w:hAnsi="Times New Roman" w:cs="Times New Roman"/>
          <w:sz w:val="28"/>
          <w:szCs w:val="28"/>
        </w:rPr>
        <w:t>РАЗВИТИЮ КОНКУРЕНЦИИ В МО «АХТУБИНСКИЙ РАЙОН»</w:t>
      </w: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75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3685"/>
        <w:gridCol w:w="91"/>
        <w:gridCol w:w="23"/>
        <w:gridCol w:w="10527"/>
        <w:gridCol w:w="25"/>
        <w:gridCol w:w="73"/>
        <w:gridCol w:w="79"/>
      </w:tblGrid>
      <w:tr w:rsidR="00A31646">
        <w:tblPrEx>
          <w:tblCellMar>
            <w:top w:w="0" w:type="dxa"/>
            <w:bottom w:w="0" w:type="dxa"/>
          </w:tblCellMar>
        </w:tblPrEx>
        <w:trPr>
          <w:trHeight w:val="675"/>
        </w:trPr>
        <w:tc>
          <w:tcPr>
            <w:tcW w:w="5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0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Отчетная информация за 2017 год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5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Системные мероприятия по развитию конкурентной среды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Оптимизация процедур закупок товаров, работ, услуг для нужд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«Ахтубинский район»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централизации закупок товаров, работ, услуг для нужд МО «Ахтубинский район» (далее-закупки)</w:t>
            </w:r>
          </w:p>
        </w:tc>
        <w:tc>
          <w:tcPr>
            <w:tcW w:w="10528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целях повышения эффективности бюджетных расходов, гласности и прозрачности системы муниципальных закупок, организована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нтрализация закупок товаров, работ, услуг для нужд МО «Ахтубинский район». Муниципальным казенным учреждением по осуществлению закупок для муниципальных нужд муниципального образования «Ахтубинский район» в 2017 году заключено 105 контрактов.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азатель на 2017 год был установлен на уровне 94 заказа.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 достигнут и выполнение составило 111,7%.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экономии бюджетных средств, полученная в результате организации централизации закупок товаров, работ, услуг для нужд МО «Ахтубинский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район» в 2017 году составила 1800,0 тыс. рублей, что составило 138,46% от планового показателя установленного на 2017 год — 1300,0 тыс. рублей.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3799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у субъектов малого предприни-мательства</w:t>
            </w:r>
          </w:p>
        </w:tc>
        <w:tc>
          <w:tcPr>
            <w:tcW w:w="10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обеспечения доступа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малого предпринимательства к участию в закупках, осуществляются закупки у субъектов малого предпринимательства. Удельный вес закупок у СМП в общем совокупном годовом объеме закупок в 2017 году – 47,5%.</w:t>
            </w:r>
          </w:p>
          <w:p w:rsidR="00A31646" w:rsidRDefault="00C75A76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целевой показатель составлял 20%.</w:t>
            </w:r>
          </w:p>
          <w:p w:rsidR="00A31646" w:rsidRDefault="00C75A76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 в 2017 году достигнут и составил  237,5%.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00" w:type="dxa"/>
            <w:gridSpan w:val="5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Снижение административных барьеров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управлением экономического развития администрации «Ахтубинский район» оценки регулирующего воздействия проектов муниципальных нормативных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правовых актов МО «Ахтубинский район» и экспертизе муниципальных нормативных правовых актов МО «Ахтубинский район», устанавливающих новые или изменяющих ранее предусмотренные нормативными правовыми актами МО «Ахтубинский район» обязанности для субъектов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едпринимательской и инвестиционной  деятельности, в частности положений, влияющих на состояние конкуренции.</w:t>
            </w:r>
          </w:p>
        </w:tc>
        <w:tc>
          <w:tcPr>
            <w:tcW w:w="10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Проводится оценка регулирующего воздействия проектов муниципальных нормати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правовых актов МО «Ахтубинский район» и экспертиза муниципальных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 правовых актов МО «Ахтубинский район», устанавливающих новые или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няющих ранее предусмотренные нормативными правовыми актами МО «Ахтубинский район» обязанности для субъектов предпринимательской и инвестиционной 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ности, в частности положен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ий, влияющих на состояние конкуренц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ии. Распоряжением администрации МО «Ахтубинский район» от 08.12.2017 №731-р, утвержден план пр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ведения экспертизы нормативных правовых актов МО «Ахтубинский рай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он», затраг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вающих вопросы осуществления предпринимательской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инвестиционной деятельн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на первое полугодие 2018 года.</w:t>
            </w:r>
          </w:p>
          <w:p w:rsidR="00A31646" w:rsidRDefault="00C75A7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проведено 11 ОРВ НПА.</w:t>
            </w:r>
          </w:p>
          <w:p w:rsidR="00A31646" w:rsidRDefault="00C75A76">
            <w:pPr>
              <w:suppressAutoHyphens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итогам работы в 2017 году  отсутствуют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проекты нормативных правовых актов, признанных затрудняющими развитие конкуренции, от общего числа проектов норм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актов, по которым была проведена оценка регулирующего возде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ствия.</w:t>
            </w:r>
          </w:p>
          <w:p w:rsidR="00A31646" w:rsidRDefault="00C75A76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</w:rPr>
              <w:t>Также отсутствуют нормативные правовые акты, признанные затрудняющими развитие конкуренции, от общ</w:t>
            </w:r>
            <w:r>
              <w:rPr>
                <w:rFonts w:cs="Times New Roman"/>
              </w:rPr>
              <w:t>е</w:t>
            </w:r>
            <w:r>
              <w:rPr>
                <w:rFonts w:cs="Times New Roman"/>
              </w:rPr>
              <w:t>го числа нормативных правовых актов, по которым была проведена экспертиза.</w:t>
            </w:r>
          </w:p>
          <w:p w:rsidR="00A31646" w:rsidRDefault="00C75A76">
            <w:pPr>
              <w:suppressAutoHyphens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cs="Times New Roman"/>
              </w:rPr>
              <w:t>Целев</w:t>
            </w:r>
            <w:r>
              <w:rPr>
                <w:rFonts w:cs="Times New Roman"/>
              </w:rPr>
              <w:t>ой показатель достигнут и выполнен на 100%.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Расширение перечня государственных и  муниципальных услуг, предоставляемых АУ АО МФЦ и территориально обособленных структурных подразделений МФЦ</w:t>
            </w:r>
          </w:p>
        </w:tc>
        <w:tc>
          <w:tcPr>
            <w:tcW w:w="10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базе Ахтубинского филиала Автономного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Астраханской области «МФЦ» на 2017 г. запланировано оказание 170 государственных и муниципальных услуг. Целевой показатель не достигнут и составляет 134 государственные 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пальные услуги, что составляет 79% от плана. Снижение количества предоставляемы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государственных и муниципальных услуг обусловлено заключением новых соглаш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о взаимодействии с федеральными органами исполнительной власти и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тельными органами государственной власти Астраханской области, которые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сматривают изменение количе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услуг в связи с изменениями в законодательстве, либо упразднением некоторых ведомств, что никак не отражается на качестве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ставляемых услуг.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на базе АУ АО МФЦ «бизнес-окна» для предоставления услуг субъектам малого и среднего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распоряжением Министерства экономического развития Астраха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ской области от 23.08.2016 г. №1283-р на базе Ахтубинского филиала АУ АО «МФЦ» начиная с 01.09.2016 г. была организована работа «бизнес-окна», ориентированного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предоставление государственных, муниципальных, дополнительных (сопутствующих) услуг субъектам малого предпринимательства.</w:t>
            </w: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Ахтубинского филиала АУ АО «МФЦ» продолжает работу «бизнес-окно» для предоставления услуг субъектам малого и среднего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принимательства.</w:t>
            </w: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 на 2017 г. составил 3630 услуг. За период 2017 года поступило 3637 обращений субъектов малого предпринимательства. Целевой показатель дости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нут и составляет 100,2%.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Расширение перечня дополнительных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(сопутствующих) услуг для бизнеса на базе АУ АО МФЦ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на базе МФЦ организована работа по передаче пакета документов на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дарственную регистрацию (внесение изменений, закрытие) индивидуальных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нимателей и юридических лиц в электронном виде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Межрайонную ИФНС №6 по 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раханской области; заключено соглашение с АО «Федеральная корпорация по развитию малого и среднего предпринимательства» на предмет оказания информационных услуг как для начинающих субъектов малого предпринимательства, так и 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ствующих;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ключено соглашение с ГБУ АО «БТИ» на предмет оказания услуг физическим и юр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дическим лицам о предоставлении копий учетно-технической документации.</w:t>
            </w: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Ахтубинского филиала АУ АО «МФЦ» на 2017 год запланировано расширение перечня дополнитель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(сопутствующих) услуг для бизнеса до 60. Целевой показ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 достигнут, количество  дополнительных (сопутствующих) услуг для бизнеса ув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личено до 68, что составляет 113,3% от плана.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на базе АУ АО МФЦ приема заявок от субъектов малого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среднего предпринимательства на технологическое присоединение к сетям ресурсоснабжающих организаций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базе Ахтубинского филиала АУ АО «МФЦ» в 2017 году был организован прием 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явок от субъектов малого и среднего предпринимательства на технологическое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единение к сетям ресурсоснабжающих организаций, в соответствии с заключенными соглашениями.  Заключено 2 соглашения с ресурсоснабжающими организациями. 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левой показатель достигнут на 100%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user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Размещение информации о муниципальных услугах на сайте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администрации МО «Ахтубинский район», в помещениях администрации МО «Ахтубинский район», АУ АО МФЦ, в средствах массовой информации</w:t>
            </w:r>
          </w:p>
        </w:tc>
        <w:tc>
          <w:tcPr>
            <w:tcW w:w="10551" w:type="dxa"/>
            <w:gridSpan w:val="2"/>
            <w:tcBorders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повышения доступности информации об оказываемых муниципальных усл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гах, в течение 2017 года на сайте администрации 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«Ахтубинский район», в помещ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нии администрации муниципального образования, в АУ АО МФЦ и средствах масс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вой информации размещалась информация о муниципальных услугах, а также на оф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циальном сайте МО «Ахтубинский район» размещен раздел «муниципальные услу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ги».</w:t>
            </w: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целевому показателю в 2017 году количество информационных стендов должно 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ставить 4 ед. Выполнение показателя 100%.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Сокращение уровня административных барьеров в сфере малого и среднего предпринимательства путем сокращения сроков:</w:t>
            </w:r>
          </w:p>
          <w:p w:rsidR="00A31646" w:rsidRDefault="00C75A7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получения разрешения на строительство;</w:t>
            </w:r>
          </w:p>
          <w:p w:rsidR="00A31646" w:rsidRDefault="00A3164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646" w:rsidRDefault="00C75A7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получения разрешения на ввод объекта в эксплуатацию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2017 году Постановлением администрации от 10.10.2017 №704 внесены изменения в административный регламент администрации МО «Ахтубинский район» по предоставлении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 услуги «Выдача разрешения на строительство», утвержденный постановлением администрации МО «Ахтубинский район» от 03.09.2013 №1012. Срок предоставления муниципальной  услуги «Выдача разрешения на строительство» составляет 7 рабочих дней.</w:t>
            </w:r>
          </w:p>
          <w:p w:rsidR="00A31646" w:rsidRDefault="00A3164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Услуга «Выдача разрешения на ввод объекта в эксплуатацию» по административному регламенту составляет 10 дней, фактически услуга оказывается в течение 7 рабочих дней. Изменение сроков предоставления услуги предусмотрены в проекте постановл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о внесении 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менения в административный регламент администрации МО «Ахт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бинский район».</w:t>
            </w:r>
          </w:p>
          <w:p w:rsidR="00A31646" w:rsidRDefault="00C75A76">
            <w:pPr>
              <w:pStyle w:val="Standard"/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на 2017 год достигнуты. Выполнение 100%.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процессов управления объектами муниципальной собственности МО «Ахтубинский район»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Ежеквартальный мониторинг результатов финансово-хозяйственной деятельности муниципальных предприятий МО «Ахтубинский район»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году, ежеквартально, муниципальные предприятия предоставляли в управление экономического развития администрации МО «Ахтубинск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район» информацию по своей финансово-хозяйственной деятельности. Проводится анализ представленной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формации. При необходимости, даются рекомендации по ведению ФХД, для улучш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показателей. Совместно с руководителями предприятий составляются планы 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приятий, направленные на стабилизацию экономических показателей.  </w:t>
            </w:r>
          </w:p>
          <w:p w:rsidR="00A31646" w:rsidRDefault="00C75A7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безубыточных предприятий от общего количества муниципальных предприятий на 2017 год установлена на уровне 70%. Целевой  показатель достигнут.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Стимулирование новых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предпринимательских инициатив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механизмов муниципальной поддержки за счет средств бюджета МО «Ахтубинский район» малого и среднего предпринимательства в виде: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-грантов начинающим малым и средним предпринимателям</w:t>
            </w:r>
          </w:p>
        </w:tc>
        <w:tc>
          <w:tcPr>
            <w:tcW w:w="10551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В 2017 году осуществлялась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реализация муниципальной программы  «Р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азвитие и поддержка малого и среднего предпринимательства МО «Ахтубинский район» на 2016-2020 годы»,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утвержденная постановлением администрации МО «Ахтубинский район» постановление № 1328 от 04.09.2014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(в редакции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6.04.2015 №504, от 26.11.2015 №1324, от 09.08.2016 № 353, от 24.01.2017 № 17)</w:t>
            </w:r>
          </w:p>
          <w:p w:rsidR="00A31646" w:rsidRDefault="00A31646">
            <w:pPr>
              <w:pStyle w:val="Standard"/>
              <w:widowControl w:val="0"/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46" w:rsidRDefault="00C75A76">
            <w:pPr>
              <w:pStyle w:val="Standard"/>
              <w:widowControl w:val="0"/>
              <w:shd w:val="clear" w:color="auto" w:fill="FFFFFF"/>
              <w:ind w:left="-57" w:right="-57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Для реализации механизмов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поддержки за счет средств бюджета МО «Ахтубинский район» малого и среднего предпринимательства действуют следующие нормативно-правовые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кты:</w:t>
            </w:r>
          </w:p>
          <w:p w:rsidR="00A31646" w:rsidRDefault="00C75A76">
            <w:pPr>
              <w:pStyle w:val="Standard"/>
              <w:widowControl w:val="0"/>
              <w:shd w:val="clear" w:color="auto" w:fill="FFFFFF"/>
              <w:ind w:left="-57" w:right="-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№ 933 от 25.06.2014 "Об утверждении Положения о субсидировании целевых расходов, произведенных субъектами малого и среднего предпринимательства, связанных с началом предпринимательской деятельности на территории МО «Ахтубинский район»;</w:t>
            </w:r>
          </w:p>
          <w:p w:rsidR="00A31646" w:rsidRDefault="00C75A76">
            <w:pPr>
              <w:pStyle w:val="Standard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-Постановление № 781 от 26.05.2014 "Об утверждении Положения о конкурсной комиссии по отбору бизнес-планов (проектов) в целях оказания муниципальной поддержки, в виде гранта в форме бюджетной субсидии субъектам малого и среднего предпринимательства в Ахтуб</w:t>
            </w:r>
            <w:r>
              <w:rPr>
                <w:rFonts w:ascii="Times New Roman" w:hAnsi="Times New Roman"/>
                <w:sz w:val="28"/>
                <w:szCs w:val="28"/>
              </w:rPr>
              <w:t>инском районе»;</w:t>
            </w:r>
          </w:p>
          <w:p w:rsidR="00A31646" w:rsidRDefault="00C75A7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-Постановление № 761 от 21.05.2014 "Об утверждении Положения о порядке и условиях конкурсного отбора бизнес-планов в целях оказания муниципальной поддержки субъектам малого и среднего предпринимательства в Ахтубинском районе».</w:t>
            </w:r>
          </w:p>
          <w:p w:rsidR="00A31646" w:rsidRDefault="00C75A7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 выдан 1 грант на общую сумму 100,0 тыс. рублей начинающему предпринимателю на возмещение части затрат. С предпринимателям заключено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Соглашение об использовании гранта в форме бюджетной субсидии.</w:t>
            </w:r>
          </w:p>
          <w:p w:rsidR="00A31646" w:rsidRDefault="00C75A7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Целевой показатель на 2017 год выполнен.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на территории МО «Ахтубинский район» совещаний, конференций, круглых столов, обучающих семинаров и других мероприятий для субъектов малого и среднего предпринимательства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2017 году в этом направлении была проведена следующая работ</w:t>
            </w:r>
            <w:r>
              <w:rPr>
                <w:rFonts w:ascii="Times New Roman" w:hAnsi="Times New Roman"/>
                <w:sz w:val="28"/>
                <w:szCs w:val="28"/>
              </w:rPr>
              <w:t>а:</w:t>
            </w:r>
          </w:p>
          <w:p w:rsidR="00A31646" w:rsidRDefault="00C75A76">
            <w:pPr>
              <w:pStyle w:val="Standar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7 бизнес-планов по линии  центра занятости.</w:t>
            </w:r>
          </w:p>
          <w:p w:rsidR="00A31646" w:rsidRDefault="00C75A76">
            <w:pPr>
              <w:pStyle w:val="Textbody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тематических семинаров («круглых столов») для субъектов малого предпринимательства в рамках координационного совета по развитию малого бизнеса:</w:t>
            </w:r>
          </w:p>
          <w:p w:rsidR="00A31646" w:rsidRDefault="00C75A76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Изменение законодательства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области контрольно-надзорной деятельности. Докладчик, прокурор г. Ахтубинска - Колчин В.А.</w:t>
            </w:r>
          </w:p>
          <w:p w:rsidR="00A31646" w:rsidRDefault="00C75A76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 Контрольно-кассовые аппараты (ККМ) в 2017 году: основные изменения. Докладчик, и.о. начальника ИФМНС по Ахтубинскому району- Жихарева А.И.</w:t>
            </w:r>
          </w:p>
          <w:p w:rsidR="00A31646" w:rsidRDefault="00C75A76">
            <w:pPr>
              <w:pStyle w:val="Standard"/>
              <w:shd w:val="clear" w:color="auto" w:fill="FFFFFF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Возможности и услу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 МФЦ для предпринимателей. Докладчик- директор МФЦ - Мищук Д.А.</w:t>
            </w:r>
          </w:p>
          <w:p w:rsidR="00A31646" w:rsidRDefault="00C75A76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Презентация проектов ОНФ «Генеральная уборка», «Убитые дороги» , «Комфортная городская среда». Докладчик, уполномоченный по защите прав предпринимателей при Губернаторе АО - Никитина Н.З.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содокладчик  координатор по СМИ и связям в АО ОНФ- Путилин М.</w:t>
            </w:r>
          </w:p>
          <w:p w:rsidR="00A31646" w:rsidRDefault="00C75A76">
            <w:pPr>
              <w:pStyle w:val="Standard"/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5.Работа портала «Бизнес-навигатор». Докладчик - Мищук Дмитрий Анатольевич.</w:t>
            </w:r>
          </w:p>
          <w:p w:rsidR="00A31646" w:rsidRDefault="00C75A76">
            <w:pPr>
              <w:pStyle w:val="Standard"/>
              <w:shd w:val="clear" w:color="auto" w:fill="FFFFFF"/>
              <w:spacing w:after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«Защити себя от финансовых махинаций и мошенников», в рамках Проекта «Содействие повышению уровня финансовой 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мотности населения и развитию финансового образования в Российской Федерации». Докладчик- Нарожный Константин Игоревич, 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направления Публичного Акционерного общества (ПАО) «Почта Банк», территориальный менеджер -  Тарик Сергей Олегович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едено консультаций за период 2017 года -  504, том числе по разработке бизнес-планов 15.</w:t>
            </w:r>
          </w:p>
          <w:p w:rsidR="00A31646" w:rsidRDefault="00C75A76">
            <w:pPr>
              <w:pStyle w:val="Textbody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Подготовлено около 50 информационных  блоков касательно развития малого бизнеса (с применением системы консультант+ и сайта  «бухгалтер онлайн»).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Подготовлен 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нформац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ионный материал для работы в кружках, связанных с популяризацией предпринимательства среди подрастающего поколения 10-11 классы.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 опрос учащихся в котором приняли участие ученики 8-11 классов школ города и района  всего 200 учащихся.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Проведен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семинар в Центре занятости с безработными гражданами на тему «бизнес-планирования».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Целевой показатель за 2017 год достигнут.</w:t>
            </w:r>
          </w:p>
        </w:tc>
        <w:tc>
          <w:tcPr>
            <w:tcW w:w="15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Мероприятия по содействию развития конкуренции на приоритетных рынках МО «Ахтубинский район»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14923" w:type="dxa"/>
            <w:gridSpan w:val="6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развития конкуренции на рынке строительства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Сокращение сроков предоставления муниципальных услуг по выдаче разрешения на строительство и разрешения на ввод объекта в эксплуатацию при осуществлении строительства, реконструкции объектов капитального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строительства.</w:t>
            </w:r>
          </w:p>
        </w:tc>
        <w:tc>
          <w:tcPr>
            <w:tcW w:w="10551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создания условий максимального благосостояния хозяйствующим субъектам Астраханской области при входе на рынок, сокращены сроки предоставления муниципальных услуг по выдаче разрешения  на строительство и разрешения на ввод объекта в экспл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уатацию при осуществлении строительства, реконструкции объектов капитального строительства до 7 дней.</w:t>
            </w:r>
          </w:p>
          <w:p w:rsidR="00A31646" w:rsidRDefault="00C75A7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Целевой показатель, установленный на 2017 год достигнут. Выполнение 100%.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Развитие конкуренции на рынке жилищно-коммунального хозяйства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семинаров для представителей органов местного самоуправления муниципальных образований Астраханской области, управляющих компаний, товариществ собственников жилья, жилищно-строительных кооперативов, членов советов многоквартирных домов по разъяс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нению норм жилищного законодательства</w:t>
            </w:r>
          </w:p>
        </w:tc>
        <w:tc>
          <w:tcPr>
            <w:tcW w:w="105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повышения правовой грамотности представителей органов местного самоуправления муниципальных образований Астраханской области, управляющих компаний, жилищно-строительных кооперативов, членов советов многоквартирных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домов по вопросам жилищного законодательства, управлением коммунального хозяйства администрации были запланированы и проведены семинары для представителей органов местного самоуправления муниципальных образований Астраханской области, управляющих компаний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товариществ собственников жилья, жилищно-строительных кооперативов, членов советов многоквартирных домов по разъяснению норм жилищного законодательства.</w:t>
            </w:r>
          </w:p>
          <w:p w:rsidR="00A31646" w:rsidRDefault="00C75A76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2017 году проведены 4 семинара, что соответствует целевому показателю на 2017 год. Выполнение соста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 100%.</w:t>
            </w:r>
          </w:p>
        </w:tc>
        <w:tc>
          <w:tcPr>
            <w:tcW w:w="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 Развитие рынка розничной торговли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ежегодной осенней ярмарки на территории г. Ахтубинска</w:t>
            </w:r>
          </w:p>
        </w:tc>
        <w:tc>
          <w:tcPr>
            <w:tcW w:w="1057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целях улучшения условий конкуренции на районном потребительском рынке, расширения возможностей для реализации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произведенной продукции мелкими и средними сельскохозяйственными производителями, ежегодно, совместно со структурными подразделениями администрации МО «Ахтубинский район» организовывается и проводится осенняя ярмарка. Результатом проведения ярмарки являетс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 — увеличение объемов реализованной продукции. На ярмарку приглашаются не только товаросельхозпроизводители, но и организации, предприниматели, осуществляющие свою деятельность на территории города Ахтубинска и Ахтубинского района. В 2017 году в  этом мер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оприятии приняли участие более 3000 чел. Реализовано 60 тонн различной продукции, что меньше  запланированного  объема (140,25 тонн) на 80,25 тонн. Плановый показатель не достигнут, в связи с низким объемом реализованной продукции. На результат повлиял нез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аконченный сбор сельскохозяйственной продукции, связанный с погодными условиями.  Так же у населения есть возможность ежедневно приобретать сельскохозяйственную продукцию на постоянно действующих ярмарках, «зеленых рядах» города и района.</w:t>
            </w:r>
          </w:p>
          <w:p w:rsidR="00A31646" w:rsidRDefault="00C75A76">
            <w:pPr>
              <w:pStyle w:val="TableContents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Ежегодно, провод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имая осенняя ярмарка, кроме поддержки местных сельхоз- и товаропроизводителей, способствует удовлетворению спроса населения в сельскохозяйственной продукции по доступным ценам и снижению социальной напряженности в части ценовой ситуации на социально значим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ые группы товаров.   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77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сезонной продажи сельскохозяйственной продукции.</w:t>
            </w:r>
          </w:p>
        </w:tc>
        <w:tc>
          <w:tcPr>
            <w:tcW w:w="10574" w:type="dxa"/>
            <w:gridSpan w:val="3"/>
            <w:tcBorders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Чтобы избежать стихийных, несанкционированных форм торговли без контроля качества продукции, создаются специализированные торговые площадки для реализации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продукции местных товаропроизводителей. Так, в 2017 году были организованы нестационарные торговые объекты  - 13 ед. Кроме того, в Ахтубинском  районе сельхозпродукция реализуется на 1 универсальном розничном рынке, где в  достаточном количестве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яются торговые места для продажи продуктов растениеводства, животноводства, рыбоводства и т.д., организованы 3 постоянно действующих ярмарки, в том числе и ярмарка «выходного дня», 2 мини-ярмарки «зеленые ряды», проведена большая осенняя ярмарка. Таким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азом, установленный плановый показатель на 2017 год — 7 ярмарок, перевыполнен. И составил 285% - 20 ед.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776" w:type="dxa"/>
            <w:gridSpan w:val="2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содействия в реализации продукции местных товаропроизводителей на региональном потребительском рынке.</w:t>
            </w:r>
          </w:p>
        </w:tc>
        <w:tc>
          <w:tcPr>
            <w:tcW w:w="1057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suppressAutoHyphens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ежегодной осенней ярмарке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 45 товаропроизводителей всех форм собственности, представивших свою продукцию, что больше запланированного количества (43 ед.).</w:t>
            </w:r>
          </w:p>
          <w:p w:rsidR="00A31646" w:rsidRDefault="00C75A76">
            <w:pPr>
              <w:suppressAutoHyphens w:val="0"/>
              <w:spacing w:after="0"/>
              <w:jc w:val="both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программе «Семейные животноводческие фермы» в 2017 году введен в эксплуатацию убойный цех, оснащенный совреме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нным оборудованием в том числе по переработке мясной продукции. В текущем году планируется участие этого сельхозпредприятия  в конкурсах по поставке мясной продукции и полуфабрикатов в учреждения социальной сферы г. Ахтубинска и Ахтубинского района.</w:t>
            </w:r>
          </w:p>
          <w:p w:rsidR="00A31646" w:rsidRDefault="00C75A76">
            <w:pPr>
              <w:suppressAutoHyphens w:val="0"/>
              <w:spacing w:after="0"/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Кроме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того, участником программы «Семейные животноводческие фермы», на базе крестьянского фермерского хозяйства образован цех по переработке молочной продукции. Произведенная продукция пользуется спросом у населения, также осуществляются поставки в торговые точк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города и района. В текущем году планируется участие в конкурсах по поставке молочной продукции в образовательные учреждения МО «Ахтубинский район», а так же в учреждения здравоохранения.</w:t>
            </w:r>
          </w:p>
          <w:p w:rsidR="00A31646" w:rsidRDefault="00C75A76">
            <w:pPr>
              <w:pStyle w:val="Standard"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</w:rPr>
              <w:t>Целевой показатель в 2017 году достигнут и составил  105%.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23" w:type="dxa"/>
            <w:gridSpan w:val="6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конкуренции на агропромышленном рынке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строительства новых и расширения действующих производств по выращиванию овощей в защищенном грунте</w:t>
            </w:r>
          </w:p>
        </w:tc>
        <w:tc>
          <w:tcPr>
            <w:tcW w:w="106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снижения уровня замещения внутреннего спроса на овощную продукцию импортом из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 стран, управлением сельского хозяйства ведется работа по созданию условий по расширению действующих производств, осуществляющих свою деятельность на территории Ахтубинского района, путем увеличения площади выращивания овощей в защищенном грунте.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на базе СССПК «ЮгОвощСбыт» произведена реконструкция парников с площадью 0,2 га. для выращивания ранних овощей (салатов, огурцов, томатов). На базе СССПК «Астраханский огород» начато строительство двух теплиц нового поколения – солнечных вегетарий, площа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дью 0,1 га. Целевой показатель, установленный на 2017 год — 0,2 га. перевыполнен, площади выращивания овощей в защищенном грунте составили 0,3 га. или на 150% от планового показателя.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Стимулирование сельхозтоваропроизводителей к увеличению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продукции с предпродажной подготовкой и создания условий для длительного хранения, оказание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помощи в разработке бизнес- планов, в подборе складского оборудования и сельскохозяйственной техники, проведение семинаров на базе предприятий района с привлечением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фермеров других регионов и производителей складского оборудования и сельскохозяйственной техники</w:t>
            </w:r>
          </w:p>
        </w:tc>
        <w:tc>
          <w:tcPr>
            <w:tcW w:w="1066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увеличения доли овощебахчевой продукции Ахтубинского района в межсезонье, проводится работа по 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тимулированию сельхозтоваропроизводителей к увеличению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продукции с предпродажной подготовкой и создания условий для длительного хранения, оказание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помощи в разработке бизнес- планов, в подборе складского оборудования и сельскохозяйственной техники, проведение семинаров на базе предприятий района с привлечением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фермеров других регионов и производителей складского оборудования и сельскохозяйственной техники.</w:t>
            </w:r>
          </w:p>
          <w:p w:rsidR="00A31646" w:rsidRDefault="00C75A76">
            <w:pPr>
              <w:pStyle w:val="Standard"/>
              <w:spacing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Так,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2017 года были организованы дни поля, агрономические и животноводческие обучающие семинары, выставки-конференции, собрания с главами крестьянс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ких (фермерских) хозяйств в сельских поселениях, периодически производилась рассылка по электронным адресам сельхозтоваропроизводителей буклетов от производителей сельскохозяйственной техники и складского оборудования, кроме того оказывалась помощь в соста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влении бизнес-планов СССПК «Астраханский огород» для участия в гранте по развитию материально-технической базы кооператива.</w:t>
            </w:r>
          </w:p>
          <w:p w:rsidR="00A31646" w:rsidRDefault="00C75A76">
            <w:pPr>
              <w:pStyle w:val="Standard"/>
              <w:spacing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Результатом проведенной работы, явилось увеличение мощности единовременного хранения овощебахчевой продукции.</w:t>
            </w:r>
          </w:p>
          <w:p w:rsidR="00A31646" w:rsidRDefault="00C75A76">
            <w:pPr>
              <w:pStyle w:val="Standard"/>
              <w:spacing w:line="240" w:lineRule="auto"/>
              <w:ind w:right="12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 мощности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единовременного хранения овощебахчевой продукции составили 48,8 тыс. тонн, что составило 119% к плановому целевому показателю - 41 тыс. тонн.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Активизация работы по созданию на территории района сельскохозяйственных потребительских кооперативов</w:t>
            </w:r>
          </w:p>
        </w:tc>
        <w:tc>
          <w:tcPr>
            <w:tcW w:w="106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Ахтубинском районе на 01.01.2018 всего имеется 6 сельскохозяйственных потребительских  кооперативов, в том числе созданный СССПК «Дары Астрахани», который является кооперативом 2-ого уровня.</w:t>
            </w:r>
          </w:p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данному мероприятию плановый целевой показатель — 5 кооператив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ов. По факту перевыполнение составило 120%.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малых форм предпринимательства в агропромышленном комплексе</w:t>
            </w:r>
          </w:p>
        </w:tc>
        <w:tc>
          <w:tcPr>
            <w:tcW w:w="10665" w:type="dxa"/>
            <w:gridSpan w:val="4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2017 году, запланированный рост численности крестьянско-фермерских хозяйств не достигнут.</w:t>
            </w:r>
          </w:p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отчетном году произошло снижение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количества КФХ на 9%, и по факту составило 272 хозяйства, при плановом целевом показателе в 300 ед. Основная причина в том, что часть КФХ зарегистрировались в налоговых органах, но фактически не приступили к работе. Большая часть хозяйств животноводческой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отрасли перешли в ЛПХ, тем самым избегая налоговых платежей.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3685" w:type="dxa"/>
            <w:tcBorders>
              <w:left w:val="single" w:sz="2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прогрессивных технологий и стимулирование повышения производительности труда в сельском хозяйстве путем предоставления грантов сельхозтоваропроизводителям Ахтубинского района</w:t>
            </w:r>
          </w:p>
        </w:tc>
        <w:tc>
          <w:tcPr>
            <w:tcW w:w="10665" w:type="dxa"/>
            <w:gridSpan w:val="4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механизации производственных процессов, и как следствие рост производительности труда в сельском хозяйстве, выражается в количестве приобретенной сельскохозяйственной техники, транспорта и оборудования сельхозтоваропроизводителями Ахтубинс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кого района.</w:t>
            </w:r>
          </w:p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приобретенной сельскохозяйственной техники, транспорта и оборудования в 2017 году составило 93 ед. Плановый целевой показатель — 88 ед. перевыполнен на 5,7%.</w:t>
            </w: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uppressLineNumber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Обеспечение качественных консультационных услуг и своевременное </w:t>
            </w:r>
            <w:r>
              <w:rPr>
                <w:rFonts w:ascii="Times New Roman" w:hAnsi="Times New Roman"/>
                <w:sz w:val="28"/>
                <w:szCs w:val="28"/>
              </w:rPr>
              <w:t>информирование о мерах государственной поддержки, направленных на развитие малых форм хозяйствования</w:t>
            </w:r>
          </w:p>
        </w:tc>
        <w:tc>
          <w:tcPr>
            <w:tcW w:w="10665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повышения уровня информированности о мерах и формах государственной поддержки сельхозтоваропроизводителей Ахтубинского района, проводится путем обеспе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качественных консультационных услуг и своевременного информирования о мерах государственной поддержки, направленных на развитие малых форм хозяйствования.</w:t>
            </w:r>
          </w:p>
          <w:p w:rsidR="00A31646" w:rsidRDefault="00C75A76">
            <w:pPr>
              <w:pStyle w:val="Standard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2017 год было оказано 135 консультационных услуг руководителям крестьянско-фермерских хозяйс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тв, а также оказана поддержка в виде субсидий: на поддержку животноводства в размере 10,4 млн. рублей, на поддержку растениеводства – 25,7 млн. рублей, на поддержку сельскохозяйственной кооперации – 11,0 млн. рублей, на субсидирование инвестиционных и крат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косрочных кредитов – 16,2 млн. рублей.</w:t>
            </w:r>
          </w:p>
          <w:p w:rsidR="00A31646" w:rsidRDefault="00C75A76">
            <w:pPr>
              <w:suppressAutoHyphens w:val="0"/>
              <w:spacing w:line="240" w:lineRule="auto"/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lang w:eastAsia="ru-RU"/>
              </w:rPr>
              <w:t>Целевой показатель достигнут и выполнен на 100%.</w:t>
            </w:r>
          </w:p>
        </w:tc>
        <w:tc>
          <w:tcPr>
            <w:tcW w:w="7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Развитие конкуренции в сфере туризма</w:t>
            </w: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содействия в реализации проектов культурно-познавательного, событийного туризма.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электронного </w:t>
            </w:r>
            <w:r>
              <w:rPr>
                <w:rFonts w:ascii="Times New Roman" w:hAnsi="Times New Roman"/>
                <w:sz w:val="28"/>
                <w:szCs w:val="28"/>
              </w:rPr>
              <w:t>туристического справочника-путеводителя: «В объективе — Ахтубинский район»; Размещение справочника на сайте управления культуры и кинофикации МО "Ахтубинский район"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Kultura-aht.ru;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информационных конструкций (баннеров) на автомобильной дороге общ</w:t>
            </w:r>
            <w:r>
              <w:rPr>
                <w:rFonts w:ascii="Times New Roman" w:hAnsi="Times New Roman"/>
                <w:sz w:val="28"/>
                <w:szCs w:val="28"/>
              </w:rPr>
              <w:t>его пользования регионального и межмуниципального значения Астраханской области «Волгоград-Астрахань»;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Реклама туристского потенциала Ахтубинского района  в интернете на сайте Russia travel  (Астрахань туристическая)</w:t>
            </w:r>
          </w:p>
          <w:p w:rsidR="00A31646" w:rsidRDefault="00A3164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ежегодных  мероприятий собы</w:t>
            </w:r>
            <w:r>
              <w:rPr>
                <w:rFonts w:ascii="Times New Roman" w:hAnsi="Times New Roman"/>
                <w:sz w:val="28"/>
                <w:szCs w:val="28"/>
              </w:rPr>
              <w:t>тийного туризма: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-региональный творческиий фестиваль «Степной тюльпан Богдо» на территории государственного природного Богдинско-Баскунчакского заповедника, районный фестиваль национальных культур «Славянский базар», праздничное народное гуляние «Процветай</w:t>
            </w:r>
            <w:r>
              <w:rPr>
                <w:rFonts w:ascii="Times New Roman" w:hAnsi="Times New Roman"/>
                <w:sz w:val="28"/>
                <w:szCs w:val="28"/>
              </w:rPr>
              <w:t>, живи и пой – Ахтубинский район родной» (осенняя ярмарка);</w:t>
            </w:r>
          </w:p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межрегиональных круглых столах по развитию экскурсионно-образовательного туризма; Формирование и разработка туристических маршрутов.</w:t>
            </w:r>
          </w:p>
        </w:tc>
        <w:tc>
          <w:tcPr>
            <w:tcW w:w="10624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2016 году в рамках оказания содействия в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культурно-познавательного, событийного туризма были проведены следующие мероприятия: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Межрегионального творческого фестиваля «Степной тюльпан Богдо» - Фестиваль проводится ежегодно  в апреле, в течение 3-х дней, в период массового цвете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ния тюльпанов на территории Богдинско-Баскунчакского заповедника в Астраханской области. Полюбоваться на это великолепие ежегодно приезжают тысячи туристов. Не меньшей популярностью пользуются единственная в регионе и самая таинственная гора Богдо, а также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соленое и целительное озеро «Баскунчак». В программе прибывания участников фестиваля: посещение природного заповедника «Богдинско-Баскунчакского», музея «Природа заповедника «Богдинско-Баскунчакского», проведение пленэров в живописных мест, творческий веч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ер-встреча бардами. Завершается фестиваль награждением участников с вручением памятных призов. Принимают участие в необычном событии могут как профессиональные художники, фотографы, поэты, музыканты, экологи, так и любители. Приняли участие в фестивале 500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человек.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Проведение Районного фестиваля национальных культур «Славянский базар» -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национальных культур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«Славянский базар»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Дню Славянской письменности и культуры проходит ежегодно в мае на центральной площади г. Ахтубинска. Именно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праздник национальностей  объединяет все культуры и народности, проживающие на территории Ахтубинского района и Астраханской области. На  хлебосольном Ахтубинском подворье гостей праздника порадуют  блюда русской, украинской, белорусской, казахской , азер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байджанской кухонь, выставка-продажа соляной продукции, выставка кукол, луковых поделок, сувенирная лавка. В рамках фестиваля проходит шествие русских сувениров, парад национальностей, работает библиобульвар и все это демонстрирует многообразие культуры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шей большой страны.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Праздничное народное гуляние «Процветай, живи и пой – Ахтубинский район родной». Осенняя ярмарка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Ярмарка  посвящена празднованию Дня  района. Традиционно она  проходит в очень живописном месте у реки. Отмечают праздник  с размахом,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духе русских народных традиций. Ахтубинцам и гостям района  предоставляется  хорошая возможность пополнить свои запасы на зиму по очень доступным ценам, а заодно и поучаствовать в ярморочных народных  гуляниях.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хлебосольном Ахтубинском подворье для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тей праздника представляется выставка продаж продукции из соли, луковых поделок, сувенирная лавка, национальные кухни и блюда из лука.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малышей и взрослых, организованы аттракционы, работает потешная поляна, на которой  проходят веселые соревнования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игры. На импровизированном ипподроме традиционно проводятся скачки на лошадях. На спортивной площадке соберутся  болельщики и участники поединков за главные призы – живого барана и петуха. В ярмарочных гуляньях приняли участие — 4000 чел.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Объекты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туристического показа:</w:t>
            </w:r>
          </w:p>
          <w:p w:rsidR="00A31646" w:rsidRDefault="00A31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историко-краеведческий музей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экскурсионным, туристическим, лекционным, консультативным и комплексным обслуживание посетителей музея и населения, проводит культурно-просветительную и музейно-образовательную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деятельность в установленном порядке. В 2016 году посетили музей — 5030 чел.</w:t>
            </w:r>
          </w:p>
          <w:p w:rsidR="00A31646" w:rsidRDefault="00A31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A31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Государственный природный заповедник «Богдинско-Баскунчакский» в 2016 году посетили 13298 туристов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Национальный центр развития русской культуры «Горлица»;</w:t>
            </w: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национальный центр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азвития казацкой культуры «Вольница»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МБУК «Центр народной культуры» — который является основным координатором культурно-досуговой деятельности учреждений культуры муниципальных поселений функционируют центр казачьей культуры «Вольница» и центр русс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кой культуры «Горлица». Деятельность центров направлена на сохранение, возрождение и развитие традиционных национальных культур, изучение их историй, быта, фольклора, формирВ 2017 году в рамках оказания содействия в реализации проектов культурно-познавател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ьного, событийного туризма были проведены следующие мероприятия: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Межрегионального творческого фестиваля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«Степной тюльпан Богдо»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Фестиваль проводится ежегодно  в апреле, в течение 3-х дней, в период массового цветения тюльпанов на территории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Богдинско-Баскунчакского заповедника в Астраханской области. Полюбоваться на это великолепие ежегодно приезжают тысячи туристов. Не меньшей популярностью пользуются единственная в регионе и самая таинственная гора Богдо, а также соленое и целительное озеро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«Баскунчак». В программе прибывания участников фестиваля: посещение природного заповедника «Богдинско-Баскунчакского», музея «Природа заповедника «Богдинско-Баскунчакского», проведение пленэров в живописных мест, творческий вечер-встреча бардами. Завершае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тся фестиваль награждением участников с вручением памятных призов. Принимают участие в необычном событии могут как профессиональные художники, фотографы, поэты, музыканты, экологи, так и любители. Приняли участие в фестивале 1500 человек.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Проведение Район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ного фестиваля национальных культур «Славянский базар» -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фестиваль национальных культур 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«Славянский базар»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посвященный Дню Славянской письменности и культуры проходит ежегодно в мае на центральной площади г. Ахтубинска. Именно праздник национальностей 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бъединяет все культуры и народности, проживающие на территории Ахтубинского района и Астраханской области. На  хлебосольном Ахтубинском подворье гостей праздника порадуют  блюда русской, украинской, белорусской, казахской , азербайджанской кухонь, выставка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-продажа соляной продукции, выставка кукол, луковых поделок, сувенирная лавка. В рамках фестиваля проходит шествие русских сувениров, парад национальностей, работает библиобульвар и все это демонстрирует многообразие культуры нашей большой страны. Количест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участников в 2017 году составило 4200 человек.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ru-RU"/>
              </w:rPr>
              <w:t>Праздничное народное гуляние «Процветай, живи и пой – Ахтубинский район родной». Осенняя ярмарка-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ярмарка  посвящена празднованию Дня  района. Традиционно она  проходит в очень живописном месте у реки. Отм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ечают праздник  с размахом, в духе русских народных традиций. Ахтубинцам и гостям района  предоставляется  хорошая возможность пополнить свои запасы на зиму по очень доступным ценам, а заодно и поучаствовать в ярморочных народных  гуляниях.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хлебосольно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Ахтубинском подворье для гостей праздника представляется выставка продаж продукции из соли, луковых поделок, сувенирная лавка, национальные кухни и блюда из лука.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малышей и взрослых, организованы аттракционы, работает потешная поляна, на которой  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оходят веселые соревнования и игры. На импровизированном ипподроме традиционно проводятся скачки на лошадях. На спортивной площадке соберутся  болельщики и участники поединков за главные призы – живого барана и петуха. В ярмарочных гуляньях приняли 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— 5250 чел.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Объекты туристического показа:</w:t>
            </w:r>
          </w:p>
          <w:p w:rsidR="00A31646" w:rsidRDefault="00A31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Районный историко-краеведческий музей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Обеспечение экскурсионным, туристическим, лекционным, консультативным и комплексным обслуживание посетителей музея и населения, проводит культурно-просветительную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музейно-образовательную деятельность в установленном порядке. В 2017 году посетили музей — 5322чел.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Государственный природный заповедник «Богдинско-Баскунчакский» в 2017 году посетили 15709 туристов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 xml:space="preserve">Национальный центр развития русской культуры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«Горлица»;</w:t>
            </w:r>
          </w:p>
          <w:p w:rsidR="00A31646" w:rsidRDefault="00C75A7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национальный центр развития казацкой культуры «Вольница»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 базе МБУК «Центр народной культуры» — который является основным координатором культурно-досуговой деятельности учреждений культуры муниципальных поселений функционируют центр казачьей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ультуры «Вольница» и центр русской культуры «Горлица». Деятельность центров направлена на сохранение, возрождение и развитие традиционных национальных культур, изучение их историй, быта, фольклора, формирование этнокультурного мировоззрения у детей и молод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ежи. В центрах проходят познавательные экскурсии и беседы, мастер-классы, уроки живописи и истории, большое внимание уделяется традиционным народным праздникам. В праздниках приняли участие — 1250 чел.</w:t>
            </w:r>
          </w:p>
          <w:p w:rsidR="00A31646" w:rsidRDefault="00A31646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A31646" w:rsidRDefault="00C75A76">
            <w:pPr>
              <w:pStyle w:val="Standard"/>
              <w:spacing w:before="28"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Художественный салон сувенирной продукции « Муза» в 2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eastAsia="ar-SA"/>
              </w:rPr>
              <w:t>016 году посетили — 2150 чел.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Художественный салон сувенирной продукции «Муза» Центра народной культуры приглашает ахтубинцев и гостей города посетить выставку-продаж мастеров декоративно-прикладного творчества « Ахтубинский сувенир».</w:t>
            </w:r>
          </w:p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Представлен широкий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ыбор сувенирной продукции ручной работы, подарочные предметы домашнего обихода из дерева, сувенирные куклы, живописные полотна, информационные буклеты и книги об Астраханской губернии и Ахтубинском районе.</w:t>
            </w:r>
          </w:p>
          <w:p w:rsidR="00A31646" w:rsidRDefault="00C75A76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рамках реализации проекта электронного туристиче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ского справочника- путеводителя «В объективе – Ахтубинский район», расположенного в сети интернет на сайте управления культуры и кинофикации МО «Ахтубинский район»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Kultura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aht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проводится работа по дополнению ресурсов справочника об объектах туристичес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кого показа. Число посетителей электронного справочника на  сайте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Kultura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aht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ar-SA"/>
              </w:rPr>
              <w:t>ru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по отчётным данным составило около 10000 человек в год. Следовательно, информация о путеводителе по Ахтубинскому району, размещённая на рекламных конструкциях (баннерах)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автомобильной дороге общего пользования регионального и межмуниципального значения Астраханской области «Волгоград-Астрахань»даёт результаты.  </w:t>
            </w:r>
          </w:p>
          <w:p w:rsidR="00A31646" w:rsidRDefault="00C75A76">
            <w:pPr>
              <w:pStyle w:val="Textbody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течение 2017 года регулярно предоставлялась информация и фотоматериал об объектах туристического показа Ахтуби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нского района для размещения на национальном туристическом портале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Russia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ar-SA"/>
              </w:rPr>
              <w:t>Travel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а так же на официальном туристическом информационном портале Астраханской области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«Тravel 30.ru»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</w:p>
          <w:p w:rsidR="00A31646" w:rsidRDefault="00C75A7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рамках проведения </w:t>
            </w:r>
            <w:r>
              <w:rPr>
                <w:rFonts w:ascii="Times New Roman" w:hAnsi="Times New Roman"/>
                <w:sz w:val="28"/>
              </w:rPr>
              <w:t xml:space="preserve">районного конкурса главы МО «Ахтубинский район» на </w:t>
            </w:r>
            <w:r>
              <w:rPr>
                <w:rFonts w:ascii="Times New Roman" w:hAnsi="Times New Roman"/>
                <w:sz w:val="28"/>
              </w:rPr>
              <w:t>лучший проект среди специалистов учреждений культуры Ахтубинского района по разработке и внедрению инновационных идей и программ, разработаны проект</w:t>
            </w:r>
            <w:r>
              <w:rPr>
                <w:rFonts w:ascii="Times New Roman" w:hAnsi="Times New Roman"/>
                <w:sz w:val="28"/>
              </w:rPr>
              <w:t>ы</w:t>
            </w:r>
            <w:r>
              <w:rPr>
                <w:rFonts w:ascii="Times New Roman" w:hAnsi="Times New Roman"/>
                <w:sz w:val="28"/>
              </w:rPr>
              <w:t xml:space="preserve"> туристических маршрутов:</w:t>
            </w:r>
          </w:p>
          <w:p w:rsidR="00A31646" w:rsidRDefault="00C75A76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«Путеводитель по историческим местам достопримечательностям слободы «Владимировки</w:t>
            </w:r>
            <w:r>
              <w:rPr>
                <w:rFonts w:ascii="Times New Roman" w:hAnsi="Times New Roman"/>
                <w:sz w:val="28"/>
              </w:rPr>
              <w:t>»;</w:t>
            </w:r>
          </w:p>
          <w:p w:rsidR="00A31646" w:rsidRDefault="00C75A76">
            <w:pPr>
              <w:pStyle w:val="Textbody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«Любуюсь городом родным...»</w:t>
            </w:r>
          </w:p>
          <w:p w:rsidR="00A31646" w:rsidRDefault="00A3164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</w:p>
          <w:p w:rsidR="00A31646" w:rsidRDefault="00C75A76">
            <w:pPr>
              <w:pStyle w:val="Textbody"/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Целевой показатель, установленный на 2017 год составлял 35265 посетителей. Фактическое выполнение — 35381 посетитель, что составило 100,3% от целевого показателя.</w:t>
            </w:r>
          </w:p>
          <w:p w:rsidR="00A31646" w:rsidRDefault="00A3164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96" w:type="dxa"/>
            <w:gridSpan w:val="7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Развитие конкуренции на рынке услуг в сфере культуры</w:t>
            </w: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реализация с негосударственными организациями проектов (мероприятий) в сфере культуры, искусства и кино.</w:t>
            </w:r>
          </w:p>
        </w:tc>
        <w:tc>
          <w:tcPr>
            <w:tcW w:w="1062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2017  году в сфере культуры, искусства и кино проводилась совместная работа с негосударственными организациями в следующих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мероприятиях:</w:t>
            </w:r>
          </w:p>
          <w:p w:rsidR="00A31646" w:rsidRDefault="00C75A76">
            <w:pPr>
              <w:pStyle w:val="a6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межрегиональный творческий фестиваль «Степной тюльпан Богдо»;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районный фестиваль национальных культур «Славянский базар»;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праздник «Наурыз»;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Ночь в кино»;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Библионочь»;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акция « Ночь в музее»;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слёт коллекционеров России;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«Пасха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– праздник Светлого Христова Воскресения»</w:t>
            </w:r>
          </w:p>
          <w:p w:rsidR="00A31646" w:rsidRDefault="00C75A76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ярмарочное гулянье «Процветай, живи и пой–Ахтубинский район родной!».</w:t>
            </w:r>
          </w:p>
          <w:p w:rsidR="00A31646" w:rsidRDefault="00A31646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</w:p>
          <w:p w:rsidR="00A31646" w:rsidRDefault="00C75A76">
            <w:pPr>
              <w:pStyle w:val="a6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Количество зрителей, получивших услугу на мероприятиях проведенных с привлечением сторонних учреждений и организаций всех форм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составило 12675 человек, что соответствует установленному плановому показателю на 2017 год.</w:t>
            </w:r>
          </w:p>
          <w:p w:rsidR="00A31646" w:rsidRDefault="00C75A76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Целевой показатель достигнут полностью.</w:t>
            </w: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14996" w:type="dxa"/>
            <w:gridSpan w:val="7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 Развитие конкуренции на рынке услуг дополнительного и профессионального образования</w:t>
            </w: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1646">
        <w:tblPrEx>
          <w:tblCellMar>
            <w:top w:w="0" w:type="dxa"/>
            <w:bottom w:w="0" w:type="dxa"/>
          </w:tblCellMar>
        </w:tblPrEx>
        <w:tc>
          <w:tcPr>
            <w:tcW w:w="57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3799" w:type="dxa"/>
            <w:gridSpan w:val="3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Адаптация образовательных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учреждений всех форм собственности к  конкурентным условиям рынка, путем расширения дополнительных платных услуг</w:t>
            </w:r>
          </w:p>
        </w:tc>
        <w:tc>
          <w:tcPr>
            <w:tcW w:w="10624" w:type="dxa"/>
            <w:gridSpan w:val="3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детей и подростков посетивших платные кружки, секции и т.д. в 2017 году составило 200 чел.</w:t>
            </w:r>
          </w:p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Количество субъектов малого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предпринимательства в сфере дополнительного и профессионального образования — 6.</w:t>
            </w:r>
          </w:p>
          <w:p w:rsidR="00A31646" w:rsidRDefault="00C75A76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Целевые показатели установленные на 2017 год достигнуты в полном объеме.</w:t>
            </w:r>
          </w:p>
        </w:tc>
        <w:tc>
          <w:tcPr>
            <w:tcW w:w="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31646" w:rsidRDefault="00A31646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1646" w:rsidRDefault="00A31646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p w:rsidR="00A31646" w:rsidRDefault="00A31646">
      <w:pPr>
        <w:pStyle w:val="Textbody"/>
        <w:jc w:val="center"/>
        <w:rPr>
          <w:rFonts w:ascii="Times New Roman" w:hAnsi="Times New Roman" w:cs="Times New Roman"/>
          <w:sz w:val="28"/>
          <w:szCs w:val="28"/>
        </w:rPr>
      </w:pPr>
    </w:p>
    <w:sectPr w:rsidR="00A31646">
      <w:pgSz w:w="16838" w:h="11906" w:orient="landscape"/>
      <w:pgMar w:top="1134" w:right="863" w:bottom="1134" w:left="10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76" w:rsidRDefault="00C75A76">
      <w:pPr>
        <w:spacing w:after="0" w:line="240" w:lineRule="auto"/>
      </w:pPr>
      <w:r>
        <w:separator/>
      </w:r>
    </w:p>
  </w:endnote>
  <w:endnote w:type="continuationSeparator" w:id="0">
    <w:p w:rsidR="00C75A76" w:rsidRDefault="00C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76" w:rsidRDefault="00C75A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75A76" w:rsidRDefault="00C7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46355"/>
    <w:multiLevelType w:val="multilevel"/>
    <w:tmpl w:val="2596779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195A4E9F"/>
    <w:multiLevelType w:val="multilevel"/>
    <w:tmpl w:val="CD7224DA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31646"/>
    <w:rsid w:val="006505C7"/>
    <w:rsid w:val="00A31646"/>
    <w:rsid w:val="00C7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uppressAutoHyphens/>
      <w:spacing w:after="0" w:line="24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ableContentsuser">
    <w:name w:val="Table Contents (user)"/>
    <w:basedOn w:val="Standarduser"/>
    <w:pPr>
      <w:suppressLineNumbers/>
    </w:p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List Paragraph"/>
    <w:basedOn w:val="Standard"/>
    <w:pPr>
      <w:ind w:left="720"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/&#1048;&#1075;&#1085;&#1072;&#1090;&#1077;&#1085;&#1082;&#1086;/&#1084;&#1077;&#1088;&#1086;&#1087;&#1088;&#1080;&#1103;&#1090;&#1080;&#1103;%20&#1087;&#1086;%20&#1082;&#1086;&#1085;&#1082;&#1091;&#1088;&#1077;&#1085;&#1094;&#1080;&#1080;%20%20&#1080;&#1079;&#1084;&#1077;&#1085;&#1077;&#1085;&#1085;&#1072;&#1103;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7</Pages>
  <Words>5446</Words>
  <Characters>31045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25</dc:creator>
  <cp:lastModifiedBy>Александр Яровой</cp:lastModifiedBy>
  <cp:revision>1</cp:revision>
  <cp:lastPrinted>2018-02-13T09:50:00Z</cp:lastPrinted>
  <dcterms:created xsi:type="dcterms:W3CDTF">2017-02-03T05:26:00Z</dcterms:created>
  <dcterms:modified xsi:type="dcterms:W3CDTF">2018-04-18T05:32:00Z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