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0"/>
        <w:gridCol w:w="68"/>
        <w:gridCol w:w="2674"/>
        <w:gridCol w:w="15"/>
        <w:gridCol w:w="33"/>
        <w:gridCol w:w="48"/>
        <w:gridCol w:w="18"/>
        <w:gridCol w:w="51"/>
        <w:gridCol w:w="24"/>
        <w:gridCol w:w="1120"/>
        <w:gridCol w:w="74"/>
        <w:gridCol w:w="33"/>
        <w:gridCol w:w="74"/>
        <w:gridCol w:w="86"/>
        <w:gridCol w:w="27"/>
        <w:gridCol w:w="1004"/>
        <w:gridCol w:w="80"/>
        <w:gridCol w:w="9"/>
        <w:gridCol w:w="39"/>
        <w:gridCol w:w="74"/>
        <w:gridCol w:w="45"/>
        <w:gridCol w:w="18"/>
        <w:gridCol w:w="1061"/>
        <w:gridCol w:w="83"/>
        <w:gridCol w:w="39"/>
        <w:gridCol w:w="77"/>
        <w:gridCol w:w="18"/>
        <w:gridCol w:w="1314"/>
        <w:gridCol w:w="30"/>
        <w:gridCol w:w="57"/>
        <w:gridCol w:w="21"/>
        <w:gridCol w:w="9"/>
        <w:gridCol w:w="1257"/>
        <w:gridCol w:w="6"/>
        <w:gridCol w:w="6"/>
        <w:gridCol w:w="9"/>
        <w:gridCol w:w="51"/>
        <w:gridCol w:w="1206"/>
        <w:gridCol w:w="9"/>
        <w:gridCol w:w="7"/>
        <w:gridCol w:w="9"/>
        <w:gridCol w:w="60"/>
        <w:gridCol w:w="9"/>
        <w:gridCol w:w="6"/>
        <w:gridCol w:w="9"/>
        <w:gridCol w:w="1195"/>
        <w:gridCol w:w="74"/>
        <w:gridCol w:w="6"/>
        <w:gridCol w:w="18"/>
        <w:gridCol w:w="1236"/>
        <w:gridCol w:w="95"/>
        <w:gridCol w:w="60"/>
        <w:gridCol w:w="524"/>
      </w:tblGrid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hideMark/>
          </w:tcPr>
          <w:p w:rsidR="007C4412" w:rsidRPr="007776F4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эффективности деятельности органов местного самоуправления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"Ахтубинский район"</w:t>
            </w:r>
          </w:p>
        </w:tc>
      </w:tr>
      <w:tr w:rsidR="009E2A33" w:rsidRPr="007776F4" w:rsidTr="009E2A33">
        <w:trPr>
          <w:trHeight w:val="360"/>
        </w:trPr>
        <w:tc>
          <w:tcPr>
            <w:tcW w:w="242" w:type="pct"/>
            <w:vMerge w:val="restar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4" w:type="pct"/>
            <w:gridSpan w:val="8"/>
            <w:vMerge w:val="restar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</w:t>
            </w:r>
            <w:bookmarkStart w:id="0" w:name="_GoBack"/>
            <w:bookmarkEnd w:id="0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1855" w:type="pct"/>
            <w:gridSpan w:val="2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322" w:type="pct"/>
            <w:gridSpan w:val="14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7" w:type="pct"/>
            <w:gridSpan w:val="2"/>
            <w:vMerge w:val="restar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E2A33" w:rsidRPr="007776F4" w:rsidTr="009E2A33">
        <w:trPr>
          <w:trHeight w:val="360"/>
        </w:trPr>
        <w:tc>
          <w:tcPr>
            <w:tcW w:w="242" w:type="pct"/>
            <w:vMerge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gridSpan w:val="8"/>
            <w:vMerge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7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Экономическое развитие</w:t>
            </w:r>
          </w:p>
        </w:tc>
      </w:tr>
      <w:tr w:rsidR="009E2A33" w:rsidRPr="007776F4" w:rsidTr="009E2A33">
        <w:trPr>
          <w:trHeight w:val="108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на 10 тыс. человек населения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284,20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293,90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274,50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278,09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281,03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283,31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1 815,00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12,35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12,31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16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малых предприятий городского округа (муниципального 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841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средних предприятий городского округа (муниципального 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крупных и средних предприятий и некоммерческих организаций (без субъектов малого предпринимательства) городского округа (муниципального 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3 645,40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3 103,30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3 733,20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1 588,70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1 615,22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1 635,95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1 667,68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инвестиций в основной капитал по полному кругу организаций с </w:t>
            </w: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досчетом</w:t>
            </w:r>
            <w:proofErr w:type="spell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параметров деятельности, не наблюдаемой прямыми статистическими методами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CA0E4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1256410923,09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CA0E43">
            <w:pPr>
              <w:spacing w:after="0" w:line="240" w:lineRule="auto"/>
              <w:ind w:left="-11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1262692977,71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CA0E43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1280370679,40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08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в основной капитал за счет бюджетных средств (по крупным и средним организациям; организациям, не относящимся к субъектам малого предпринимательства, средняя численность которых не превышает 15 человек; малым предприятиям и </w:t>
            </w: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микропредприятиям</w:t>
            </w:r>
            <w:proofErr w:type="spell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CA0E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1151571834,72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CA0E4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1157329510,90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CA0E43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1173532120,29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57,12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57,13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57,65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57,99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61,16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61,52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61,88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274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являющихся объектами налогообложения земельным налогом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E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233833,30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E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233889,00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E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240534,00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E35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241949,00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255 182,50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256 683,67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258 193,67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территории городского округа (муниципального района), подлежащая налогообложению в соответствии с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действующим законодательством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409 407,00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409 407,00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417 232,00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прибыльных сельскохозяйственных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их числе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прибыльных сельскохозяйственных организаций (для муниципальных районов)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сельскохозяйственных организаций (для муниципальных районов)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557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96,81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88,09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81,45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77,38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77,11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76,84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автомобильных дорог общего пользования местного значения, не отвечающих нормативным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448,70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383,80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363,60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362,33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361,06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359,79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471,20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469,90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469,90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469,90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469,90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125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68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среднегодовая численность населения, проживающего в населенных пунктах, имеющих регулярное автобусное и (или) железнодорожное сообщение с административным центром городского округа (муниципального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68 107,00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66 508,00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65 722,00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65 005,00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64 150,00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63 950,00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63 600,00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крупных и средних предприятий и некоммерческих организаций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16 774,30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19 095,11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20 922,49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20 943,10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21 037,90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21 262,98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21 845,33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всех работников крупных и средних предприятий и некоммерческих организаций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малых и </w:t>
            </w: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городского округа (муниципального 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CA0E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2966343410,0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CA0E43" w:rsidRDefault="00CA0E43" w:rsidP="00CA0E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3010838560,0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CA0E43" w:rsidRDefault="00CA0E43" w:rsidP="00CA0E43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3101163700,0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841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крупных и средних предприятий и некоммерческих организаций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(без малых и </w:t>
            </w: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городского округа (муниципального района)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11 750,00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11 800,00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11 830,00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6 883,00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10 306,20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12 337,00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12 562,00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11 829,57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14 947,74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15 489,57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муниципальных дошкольных образовательных учреждений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CA0E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134147330,0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CA0E4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169507400,00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CA0E43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175651700,00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дошкольных образовательных учреждений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учреждений: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12 606,40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18 506,40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19 181,50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19 081,00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16 973,83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22 600,73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23 397,57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муниципальных общеобразовательных учреждений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88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186168970,0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CA0E4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247884800,00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CA0E43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256624500,00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общеобразовательных учреждений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8.3.3.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</w:t>
            </w: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spellEnd"/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12 606,40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25 652,00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25 493,76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25 590,00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25 080,35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25 080,35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E35611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6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25 080,35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8.3.3.1.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8.3.3.2.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E35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учителей образовательных учреждений для детей дошкольного и младшего школьного возраста,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274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8.3.3.3.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бюджетных источников финансирования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CA0E4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129549290,0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CA0E43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129549290,00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CA0E43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129549290,00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8.3.3.4.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 начисленной заработной платы учителей общеобразовательных учреждений,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внебюджетных источников финансирования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166300,00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C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166300,00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C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166300,00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8.3.3.5.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учителей образовательных учреждений для детей дошкольного и младшего школьного возраста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8.3.3.6.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учителей общеобразовательных учреждений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lang w:eastAsia="ru-RU"/>
              </w:rPr>
              <w:t>7 455,60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lang w:eastAsia="ru-RU"/>
              </w:rPr>
              <w:t>9 632,30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lang w:eastAsia="ru-RU"/>
              </w:rPr>
              <w:t>14 868,10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lang w:eastAsia="ru-RU"/>
              </w:rPr>
              <w:t>18 328,00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lang w:eastAsia="ru-RU"/>
              </w:rPr>
              <w:t>18 328,00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lang w:eastAsia="ru-RU"/>
              </w:rPr>
              <w:t>25 670,00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CA0E43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E43">
              <w:rPr>
                <w:rFonts w:ascii="Times New Roman" w:eastAsia="Times New Roman" w:hAnsi="Times New Roman" w:cs="Times New Roman"/>
                <w:lang w:eastAsia="ru-RU"/>
              </w:rPr>
              <w:t>27 980,40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муниципальных учреждений культуры и искусства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884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729312,00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C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51442680,00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CA0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56072721,60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и искусства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8.5.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учреждений физической культуры и спорта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8 200,00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8.5.1.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работников муниципальных учреждений физической культуры и спорта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6 100 800,00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6 100 800,00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6 100 800,00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42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8.5.2.</w:t>
            </w:r>
          </w:p>
        </w:tc>
        <w:tc>
          <w:tcPr>
            <w:tcW w:w="921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firstLineChars="12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физической культуры и спорта с начала года</w:t>
            </w:r>
          </w:p>
        </w:tc>
        <w:tc>
          <w:tcPr>
            <w:tcW w:w="464" w:type="pct"/>
            <w:gridSpan w:val="8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8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44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Дошкольное образование</w:t>
            </w:r>
          </w:p>
        </w:tc>
      </w:tr>
      <w:tr w:rsidR="009E2A33" w:rsidRPr="007776F4" w:rsidTr="009E2A33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68,38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67,53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66,85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66,86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66,87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воспитанников в возрасте 1–6 лет муниципальных образовательных организаций, реализующих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3 501,00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3 579,00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3 639,00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6,46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6,03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557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1-6 лет, состоящих на учете для определения в муниципальные дошкольные образовательные учреждения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386,00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1–6 лет (на 1 января следующего за отчетным годом)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5 269,00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6 098,00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5 048,00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5 074,00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5 237,00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5 353,00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5 442,00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699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5,56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11.1.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дошкольных образовательных организаций, здания которых находятся в аварийном состоянии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дошкольных образовательных организаций, здания которых требуют капитального ремонта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898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дошкольных образовательных организаций</w:t>
            </w:r>
          </w:p>
        </w:tc>
        <w:tc>
          <w:tcPr>
            <w:tcW w:w="43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43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Общее и дополнительное образование</w:t>
            </w:r>
          </w:p>
        </w:tc>
      </w:tr>
      <w:tr w:rsidR="009E2A33" w:rsidRPr="007776F4" w:rsidTr="009E2A33">
        <w:trPr>
          <w:trHeight w:val="841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экзамен по данным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дметам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97,12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97,69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96,34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97,34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97,34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выпускников, не сдавших ЕГЭ по русскому языку и математике (или русскому языку или математике)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учреждений, участвовавших в едином государственном экзамене по русскому языку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учреждений, участвовавших в едином государственном экзамене по математике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841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 муниципальных общеобразовательных учреждений, не получивших аттестат о среднем (полном) образовании, в общей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выпускников муниципальных общеобразовательных учреждений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учреждений, не получивших аттестат о среднем (полном) образовании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муниципальных общеобразовательных учреждений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79,17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81,14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81,39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общеобразовательных учреждений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общеобразовательных учреждений, здания которых находятся в аварийном состоянии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общеобразовательных учреждений, здания которых требуют капитального ремонта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муниципальных общеобразовательных учреждений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общеобразовательных учреждений, расположенных в городской местности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557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муниципальных общеобразовательных учреждений, расположенных в сельской местности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здоровья в общей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87,59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94,11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96,41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91,05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89,72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89,72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89,72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первой и второй групп здоровья, обучающихся в муниципальных общеобразовательных учреждениях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6 174,00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6 603,00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6 927,00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6 651,00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6 554,00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6 554,00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6 554,00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 в муниципальных общеобразовательных учреждениях (за исключением вечерних (сменных) общеобразовательных учреждений)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7 049,00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7 185,00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7 305,00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699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13,53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13,78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11,52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12,81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занимающихся в муниципальных общеобразовательных учреждениях во вторую смену (за исключением вечерних (сменных) общеобразовательных учреждений)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967,00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занимающихся в муниципальных общеобразовательных учреждениях в третью смену (за исключением вечерних (сменных) общеобразовательных учреждений)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45,22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62,38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57,49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55,21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49,59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56,48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56,48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муниципального образования на общее образование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339 361,57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437 651,33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439 346,37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439 166,82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394 422,27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449 232,32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449 232,32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учащихся муниципальных общеобразовательных учреждений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7 505,00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7 016,00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7 642,00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7 954,00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7 954,00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7 954,00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7 954,00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841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собственности, в общей численности детей данной возрастной группы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59,93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66,62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62,86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65,48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61,78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59,84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58,36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19.1.</w:t>
            </w:r>
          </w:p>
        </w:tc>
        <w:tc>
          <w:tcPr>
            <w:tcW w:w="903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5 - 18 лет в городском округе (муниципальном районе)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10 618,00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10 588,00</w:t>
            </w:r>
          </w:p>
        </w:tc>
        <w:tc>
          <w:tcPr>
            <w:tcW w:w="48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9 664,00</w:t>
            </w:r>
          </w:p>
        </w:tc>
        <w:tc>
          <w:tcPr>
            <w:tcW w:w="485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9 721,00</w:t>
            </w:r>
          </w:p>
        </w:tc>
        <w:tc>
          <w:tcPr>
            <w:tcW w:w="438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9 973,00</w:t>
            </w:r>
          </w:p>
        </w:tc>
        <w:tc>
          <w:tcPr>
            <w:tcW w:w="437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10 295,00</w:t>
            </w:r>
          </w:p>
        </w:tc>
        <w:tc>
          <w:tcPr>
            <w:tcW w:w="46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10 556,00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Культура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клубами и учреждениями клубного типа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88437C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75,73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71,84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77,97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78,88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79,38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20.1.1.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число посадочных мест в учреждениях культурно-досугового типа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3 535,00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3 809,00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20.1.2.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зрительских мест в учреждениях культурно-досугового типа в соответствии с утвержденным нормативом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 на 1000 человек населения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72,13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74,14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библиотеками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ind w:leftChars="-12" w:hangingChars="11" w:hanging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парками культуры и отдыха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20.3.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парков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20.3.2.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потребность в парках культуры и отдыха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34,21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13,16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88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зданий, которые находятся в аварийном состоянии или требуют капитального ремонта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зданий государственных и муниципальных учреждений культуры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6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22.1.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объектов культурного наследия, находящихся в муниципальной собственности и требующих консервации или реставрации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объектов культурного наследия, находящихся в муниципальной собственности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47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77" w:type="pct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 Физическая культура и спорт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процентов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20,23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34,82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36,05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36,95</w:t>
            </w:r>
          </w:p>
        </w:tc>
        <w:tc>
          <w:tcPr>
            <w:tcW w:w="45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37,46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23.1.</w:t>
            </w:r>
          </w:p>
        </w:tc>
        <w:tc>
          <w:tcPr>
            <w:tcW w:w="914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лиц, систематически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занимающегося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459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lang w:eastAsia="ru-RU"/>
              </w:rPr>
              <w:t>13 917,00</w:t>
            </w:r>
          </w:p>
        </w:tc>
        <w:tc>
          <w:tcPr>
            <w:tcW w:w="443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lang w:eastAsia="ru-RU"/>
              </w:rPr>
              <w:t>14 914,00</w:t>
            </w:r>
          </w:p>
        </w:tc>
        <w:tc>
          <w:tcPr>
            <w:tcW w:w="48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lang w:eastAsia="ru-RU"/>
              </w:rPr>
              <w:t>23 114,00</w:t>
            </w:r>
          </w:p>
        </w:tc>
        <w:tc>
          <w:tcPr>
            <w:tcW w:w="475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lang w:eastAsia="ru-RU"/>
              </w:rPr>
              <w:t>23 671,00</w:t>
            </w:r>
          </w:p>
        </w:tc>
        <w:tc>
          <w:tcPr>
            <w:tcW w:w="43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lang w:eastAsia="ru-RU"/>
              </w:rPr>
              <w:t>23 690,00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lang w:eastAsia="ru-RU"/>
              </w:rPr>
              <w:t>23 800,00</w:t>
            </w:r>
          </w:p>
        </w:tc>
        <w:tc>
          <w:tcPr>
            <w:tcW w:w="45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lang w:eastAsia="ru-RU"/>
              </w:rPr>
              <w:t>24 000,00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VI. Жилищное строительство и обеспечение граждан жильем</w:t>
            </w:r>
          </w:p>
        </w:tc>
      </w:tr>
      <w:tr w:rsidR="009E2A33" w:rsidRPr="007776F4" w:rsidTr="009E2A33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помещений, приходящаяся в среднем на одного жителя - всего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22,13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23,05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6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24.1.1.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всего жилищного фонда на конец года (за исключением служебного жилищного фонда федеральных органов исполнительной власти, в которых законодательством Российской Федерации предусмотрена военная и приравненная к ней служба)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1 453 415,00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1 463 332,00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1 473 480,00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24.1.2.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городского округа (муниципального района) на конец отчетного года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64,21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63,92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общая площадь жилых помещений, приходящаяся в среднем на одного жителя - введенная в действие за год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</w:t>
            </w:r>
            <w:proofErr w:type="spellEnd"/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24.2.1.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в жилых и нежилых зданиях, введенных в действие за год организациями-застройщиками по данным формы № С-1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24.2.2.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в жилых домах, построенных населением за год по данным формы №1-ИЖС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13 900,00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14 257,00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14 614,00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3,49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2,94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4,52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 10 тыс. человек населения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2,19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423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229" w:type="pct"/>
            <w:gridSpan w:val="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25.1.1.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14,73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12,18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19,61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45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25.1.2.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комплексного освоения в целях жилищного строительства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25.2.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иного строительства,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14,70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45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08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принятия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жилищного строительства - в течение 3 лет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26.2.</w:t>
            </w:r>
          </w:p>
        </w:tc>
        <w:tc>
          <w:tcPr>
            <w:tcW w:w="930" w:type="pct"/>
            <w:gridSpan w:val="4"/>
            <w:shd w:val="clear" w:color="auto" w:fill="FFFFFF" w:themeFill="background1"/>
            <w:vAlign w:val="center"/>
            <w:hideMark/>
          </w:tcPr>
          <w:p w:rsidR="007C4412" w:rsidRPr="007776F4" w:rsidRDefault="007C4412" w:rsidP="0025020B">
            <w:pPr>
              <w:spacing w:after="0" w:line="240" w:lineRule="auto"/>
              <w:ind w:firstLineChars="38" w:firstLine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объектов капитального строительства - в течение 5 лет</w:t>
            </w:r>
          </w:p>
        </w:tc>
        <w:tc>
          <w:tcPr>
            <w:tcW w:w="468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4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0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Жилищно-коммунальное хозяйство</w:t>
            </w:r>
          </w:p>
        </w:tc>
      </w:tr>
      <w:tr w:rsidR="009E2A33" w:rsidRPr="007776F4" w:rsidTr="009E2A33">
        <w:trPr>
          <w:trHeight w:val="841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в которых собственники помещений выбрали и реализуют один из способов управления многоквартирными домами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95,32</w:t>
            </w:r>
          </w:p>
        </w:tc>
        <w:tc>
          <w:tcPr>
            <w:tcW w:w="4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97,14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инфрастуктуры</w:t>
            </w:r>
            <w:proofErr w:type="spell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частной собственности, по договору аренды или концессии, участие субъекта Российской Федерации и (или)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деятельность на территории городского округа (муниципального района)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72,73</w:t>
            </w:r>
          </w:p>
        </w:tc>
        <w:tc>
          <w:tcPr>
            <w:tcW w:w="429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699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28.1.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</w:t>
            </w:r>
            <w:proofErr w:type="spell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инфрастуктуры</w:t>
            </w:r>
            <w:proofErr w:type="spell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частной собственности, по договору аренды и концессии, участие субъекта Российской Федерации и (или)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 (муниципального района) в уставном капитале которых составляет не более 25 процентов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21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28.2.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газо-, электроснабжению, водоотведению, очистке сточных вод, утилизации (захоронению) твердых бытовых отходов, осуществляющих свою деятельность на территории городского округа (муниципального района)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17,48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17,46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37,59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692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многоквартирных домов, расположенных на земельных участках, в отношении которых осуществлен государственный кадастровый учет (единиц), в том числе по двухквартирным домам, расположенным на двух земельных участках, в отношении которых (каждого из двух) осуществлён государственный кадастровый учет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235,00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29.2.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многоквартирных домов, имеющих разрешение на ввод в эксплуатацию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1 339,00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1 340,00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1 455,00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557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9,83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4,74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4,87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30.1.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30.2.</w:t>
            </w:r>
          </w:p>
        </w:tc>
        <w:tc>
          <w:tcPr>
            <w:tcW w:w="936" w:type="pct"/>
            <w:gridSpan w:val="5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населения, состоящего на учете в качестве нуждающегося в жилых помещениях</w:t>
            </w:r>
          </w:p>
        </w:tc>
        <w:tc>
          <w:tcPr>
            <w:tcW w:w="49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435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1 111,00</w:t>
            </w:r>
          </w:p>
        </w:tc>
        <w:tc>
          <w:tcPr>
            <w:tcW w:w="427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47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Организация муниципального управления</w:t>
            </w:r>
          </w:p>
        </w:tc>
      </w:tr>
      <w:tr w:rsidR="009E2A33" w:rsidRPr="007776F4" w:rsidTr="009E2A33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40,64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38,12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43,47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50,59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54,77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54,99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54,99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налоговых и неналоговых доходов местного бюджета (за исключением поступлений налоговых </w:t>
            </w: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доходов по дополнительным нормативам отчислений)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247141275,36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268254385,97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283241552,34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311410611,00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E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334280378,0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9E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337329140,0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25020B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2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337329140,00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31.2.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C4412">
            <w:pPr>
              <w:spacing w:after="0" w:line="240" w:lineRule="auto"/>
              <w:ind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собственных доходов бюджета муниципального образования (без учета субвенций)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608173857,04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703781017,55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651576613,93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615593567,05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E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610369678,0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E2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613418440,0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613418440,00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408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учетная стоимость основных фондов организаций муниципальной формы собственности, находящихся в стадии банкротства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32.2.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C4412">
            <w:pPr>
              <w:spacing w:after="0" w:line="240" w:lineRule="auto"/>
              <w:ind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 учетная стоимость основных фондов всех организаций муниципальной формы собственности (на конец года)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890 250,00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934 901,00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938 833,00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938 833,00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938 833,00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938 833,00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938 833,00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16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34.1.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E2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просроченной кредиторской задолженности по оплате труда (включая начисления на оплату труда) муниципальных учреждений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1 170,89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34.2.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муниципального образования по оплате труда (включая начисления на оплату труда) муниципальных учреждений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79 921,87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93 259,96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690 057,08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732 700,27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692 171,42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752 346,94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752 346,94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709,34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785,29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1 262,92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1 397,19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1 494,49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1 535,51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1 544,34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35.1.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расходов бюджета муниципального образования на содержание работников органов местного самоуправления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48 786,84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52 746,54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83 822,27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91 742,23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97 002,82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98 894,82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98 936,82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20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1-да/0-нет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деятельностью органов местного самоуправления городского округа (муниципального района)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61,90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37.1.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организацией транспортного обслуживания в муниципальном образовании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557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37.2.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автомобильных дорог в муниципальном образовании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274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C4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жилищно-коммунальными услугами: уровнем организации теплоснабжения (снабжения населения топливом), водоснабжения (водоотведения), электроснабжения, газоснабжения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72,38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86,80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37.3.1.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C4412">
            <w:pPr>
              <w:spacing w:after="0" w:line="240" w:lineRule="auto"/>
              <w:ind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37.3.2.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C4412">
            <w:pPr>
              <w:spacing w:after="0" w:line="240" w:lineRule="auto"/>
              <w:ind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организации водоснабжения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37.3.4.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C4412">
            <w:pPr>
              <w:spacing w:after="0" w:line="240" w:lineRule="auto"/>
              <w:ind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организации электроснабжения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37.3.5.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7C4412">
            <w:pPr>
              <w:spacing w:after="0" w:line="240" w:lineRule="auto"/>
              <w:ind w:firstLineChars="21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организации газоснабжения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55,30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74,60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80,70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53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474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человек</w:t>
            </w:r>
          </w:p>
        </w:tc>
        <w:tc>
          <w:tcPr>
            <w:tcW w:w="429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68,78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67,17</w:t>
            </w:r>
          </w:p>
        </w:tc>
        <w:tc>
          <w:tcPr>
            <w:tcW w:w="476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66,37</w:t>
            </w:r>
          </w:p>
        </w:tc>
        <w:tc>
          <w:tcPr>
            <w:tcW w:w="432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65,66</w:t>
            </w:r>
          </w:p>
        </w:tc>
        <w:tc>
          <w:tcPr>
            <w:tcW w:w="432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64,91</w:t>
            </w:r>
          </w:p>
        </w:tc>
        <w:tc>
          <w:tcPr>
            <w:tcW w:w="43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64,41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64,06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412" w:rsidRPr="007776F4" w:rsidTr="007C4412">
        <w:trPr>
          <w:trHeight w:val="465"/>
        </w:trPr>
        <w:tc>
          <w:tcPr>
            <w:tcW w:w="5000" w:type="pct"/>
            <w:gridSpan w:val="53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IX. Энергосбережение и повышение энергетической эффективности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8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проживающего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921,79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998,73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1 054,56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954,36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949,59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944,84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940,12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30 300,00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29 700,00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39.1.2.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электрической энергии в многоквартирных домах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 Ч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27 930 104,00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29 662 287,00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30 898 694,00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27 962 759,00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27 822 945,00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27 683 830,00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27 545 411,00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тепловой энергии в многоквартирных домах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114 899,00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100 914,00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125 803,00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113 678,00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113 110,00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112 544,00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111 981,00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465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39.2.2.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многоквартирных домов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642 737,60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642 737,60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632 496,00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3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39.3.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14,25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14,11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13,96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13,89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13,82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13 768,00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14 255,00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13 008,00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12 916,00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12 916,00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12 916,00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12 916,00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39.3.2.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горячей воды в многоквартирных домах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203 740,00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203 094,00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183 489,00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182 294,00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180 300,00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179 400,00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178 500,00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3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26,08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26,40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26,01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30 300,00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29 700,00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29 300,00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29 300,00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29 300,00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29 300,00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29 300,00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39.4.2.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холодной воды в многоквартирных домах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790 187,00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804 745,00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773 576,00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807 000,00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766 000,00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762 000,00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758 000,00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3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куб. метров на 1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39.5.1.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проживающих в многоквартирных домах, которым отпущен соответствующий энергетический ресурс</w:t>
            </w:r>
            <w:proofErr w:type="gramEnd"/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39.5.2.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потребления природного газа в многоквартирных домах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201 600,00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201 600,00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259 200,00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273 600,00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84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человека населения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46,28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47,08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48,59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50,69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48,27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47,97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потребленной (израсходованной) электрической энергии муниципальными бюджетными учреждениями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кВт. Ч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3 182 990,00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3162188,00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7C4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3224905,00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3 328 454,00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3 133 060,00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3 089 510,00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3 060 340,00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 на 1 кв. метр общей площади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суммарное количество тепловой энергии, потребленной муниципальными учреждениями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15 591,00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15 062,22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15 558,27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15 164,55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15 160,00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15 155,00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15 150,00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72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40.2.2.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муниципальных бюджетных учреждений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82 361,90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81 970,30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84 366,00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84 366,00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84 366,00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84 366,00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84 366,00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40.3.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40.3.1.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потребленной (израсходованной) горячей воды муниципальными бюджетными учреждениями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6 018,00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6 617,00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8 201,00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8 160,00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8 120,00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8 080,00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40.4.1.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потребленной (израсходованной) холодной воды муниципальными бюджетными учреждениями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56 383,00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54 057,00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61 785,00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63 708,00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62 960,00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62 470,00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C4412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412">
              <w:rPr>
                <w:rFonts w:ascii="Times New Roman" w:eastAsia="Times New Roman" w:hAnsi="Times New Roman" w:cs="Times New Roman"/>
                <w:lang w:eastAsia="ru-RU"/>
              </w:rPr>
              <w:t>62 140,00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108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 на 1 человека населения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E2A33" w:rsidRPr="007776F4" w:rsidTr="009E2A33">
        <w:trPr>
          <w:trHeight w:val="960"/>
        </w:trPr>
        <w:tc>
          <w:tcPr>
            <w:tcW w:w="265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40.5.1.</w:t>
            </w:r>
          </w:p>
        </w:tc>
        <w:tc>
          <w:tcPr>
            <w:tcW w:w="961" w:type="pct"/>
            <w:gridSpan w:val="7"/>
            <w:shd w:val="clear" w:color="auto" w:fill="FFFFFF" w:themeFill="background1"/>
            <w:vAlign w:val="center"/>
            <w:hideMark/>
          </w:tcPr>
          <w:p w:rsidR="007C4412" w:rsidRPr="007776F4" w:rsidRDefault="007C4412" w:rsidP="007776F4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потребленного (израсходованного) природного газа муниципальными бюджетными учреждениями</w:t>
            </w:r>
          </w:p>
        </w:tc>
        <w:tc>
          <w:tcPr>
            <w:tcW w:w="475" w:type="pct"/>
            <w:gridSpan w:val="6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метров</w:t>
            </w:r>
          </w:p>
        </w:tc>
        <w:tc>
          <w:tcPr>
            <w:tcW w:w="426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8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7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14 948,00</w:t>
            </w:r>
          </w:p>
        </w:tc>
        <w:tc>
          <w:tcPr>
            <w:tcW w:w="42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14 873,00</w:t>
            </w:r>
          </w:p>
        </w:tc>
        <w:tc>
          <w:tcPr>
            <w:tcW w:w="436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14 799,00</w:t>
            </w:r>
          </w:p>
        </w:tc>
        <w:tc>
          <w:tcPr>
            <w:tcW w:w="480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14 725,00</w:t>
            </w:r>
          </w:p>
        </w:tc>
        <w:tc>
          <w:tcPr>
            <w:tcW w:w="197" w:type="pct"/>
            <w:gridSpan w:val="2"/>
            <w:shd w:val="clear" w:color="auto" w:fill="FFFFFF" w:themeFill="background1"/>
            <w:vAlign w:val="center"/>
            <w:hideMark/>
          </w:tcPr>
          <w:p w:rsidR="007C4412" w:rsidRPr="007776F4" w:rsidRDefault="007C4412" w:rsidP="009D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71CD" w:rsidRPr="009D71CD" w:rsidRDefault="009D71CD" w:rsidP="009D71CD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1CD" w:rsidRPr="009D71CD" w:rsidRDefault="009D71CD" w:rsidP="009D71CD">
      <w:pPr>
        <w:rPr>
          <w:lang w:eastAsia="ru-RU"/>
        </w:rPr>
      </w:pPr>
    </w:p>
    <w:p w:rsidR="009D71CD" w:rsidRPr="009D71CD" w:rsidRDefault="009D71CD" w:rsidP="009D71CD">
      <w:pPr>
        <w:rPr>
          <w:lang w:eastAsia="ru-RU"/>
        </w:rPr>
      </w:pPr>
    </w:p>
    <w:p w:rsidR="009D71CD" w:rsidRDefault="009D71CD" w:rsidP="009D71CD">
      <w:pPr>
        <w:rPr>
          <w:lang w:eastAsia="ru-RU"/>
        </w:rPr>
      </w:pPr>
    </w:p>
    <w:p w:rsidR="009D71CD" w:rsidRDefault="009D71CD" w:rsidP="009D71CD">
      <w:pPr>
        <w:rPr>
          <w:lang w:eastAsia="ru-RU"/>
        </w:rPr>
      </w:pPr>
    </w:p>
    <w:p w:rsidR="009D71CD" w:rsidRDefault="009D71CD" w:rsidP="009D71CD">
      <w:pPr>
        <w:rPr>
          <w:lang w:eastAsia="ru-RU"/>
        </w:rPr>
        <w:sectPr w:rsidR="009D71CD" w:rsidSect="007776F4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712E23" w:rsidRPr="00BA3187" w:rsidRDefault="007C4412" w:rsidP="00BA3187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="00712E23" w:rsidRPr="00BA3187">
        <w:rPr>
          <w:rFonts w:ascii="Times New Roman" w:hAnsi="Times New Roman" w:cs="Times New Roman"/>
          <w:sz w:val="28"/>
          <w:szCs w:val="28"/>
        </w:rPr>
        <w:t>. Основные результаты и перспективы деятельности органов местного самоуправления муниципального района по решению вопросов местного значения и социально-экономического развития муниципального района</w:t>
      </w:r>
    </w:p>
    <w:p w:rsidR="00255636" w:rsidRPr="009E2A33" w:rsidRDefault="00255636" w:rsidP="00BA3187">
      <w:pPr>
        <w:pStyle w:val="a7"/>
        <w:shd w:val="clear" w:color="auto" w:fill="FFFFFF"/>
        <w:ind w:firstLine="709"/>
        <w:rPr>
          <w:rStyle w:val="apple-converted-space"/>
          <w:color w:val="000000"/>
          <w:sz w:val="28"/>
          <w:szCs w:val="28"/>
        </w:rPr>
      </w:pPr>
      <w:r w:rsidRPr="009E2A33">
        <w:rPr>
          <w:bCs/>
          <w:color w:val="000000"/>
          <w:sz w:val="28"/>
          <w:szCs w:val="28"/>
        </w:rPr>
        <w:t>Ахтубинский район</w:t>
      </w:r>
      <w:r w:rsidRPr="009E2A33">
        <w:rPr>
          <w:color w:val="000000"/>
          <w:sz w:val="28"/>
          <w:szCs w:val="28"/>
        </w:rPr>
        <w:t xml:space="preserve"> расположен на северо-востоке</w:t>
      </w:r>
      <w:r w:rsidRPr="009E2A33">
        <w:rPr>
          <w:rStyle w:val="apple-converted-space"/>
          <w:color w:val="000000"/>
          <w:sz w:val="28"/>
          <w:szCs w:val="28"/>
        </w:rPr>
        <w:t xml:space="preserve"> </w:t>
      </w:r>
      <w:hyperlink r:id="rId7" w:tooltip="Астраханская область" w:history="1">
        <w:r w:rsidRPr="009E2A33">
          <w:rPr>
            <w:rStyle w:val="a8"/>
            <w:color w:val="000000"/>
            <w:sz w:val="28"/>
            <w:szCs w:val="28"/>
            <w:u w:val="none"/>
          </w:rPr>
          <w:t>Астраханской области</w:t>
        </w:r>
      </w:hyperlink>
      <w:r w:rsidRPr="009E2A33">
        <w:rPr>
          <w:rStyle w:val="apple-converted-space"/>
          <w:color w:val="000000"/>
          <w:sz w:val="28"/>
          <w:szCs w:val="28"/>
        </w:rPr>
        <w:t>.</w:t>
      </w:r>
      <w:r w:rsidRPr="009E2A33">
        <w:rPr>
          <w:color w:val="000000"/>
          <w:sz w:val="28"/>
          <w:szCs w:val="28"/>
        </w:rPr>
        <w:t xml:space="preserve"> Административный центр – город</w:t>
      </w:r>
      <w:r w:rsidRPr="009E2A33">
        <w:rPr>
          <w:rStyle w:val="apple-converted-space"/>
          <w:color w:val="000000"/>
          <w:sz w:val="28"/>
          <w:szCs w:val="28"/>
        </w:rPr>
        <w:t xml:space="preserve"> </w:t>
      </w:r>
      <w:hyperlink r:id="rId8" w:tooltip="Ахтубинск" w:history="1">
        <w:r w:rsidRPr="009E2A33">
          <w:rPr>
            <w:rStyle w:val="a8"/>
            <w:color w:val="000000"/>
            <w:sz w:val="28"/>
            <w:szCs w:val="28"/>
            <w:u w:val="none"/>
          </w:rPr>
          <w:t>Ахтубинск</w:t>
        </w:r>
      </w:hyperlink>
      <w:r w:rsidRPr="009E2A33">
        <w:rPr>
          <w:rStyle w:val="apple-converted-space"/>
          <w:color w:val="000000"/>
          <w:sz w:val="28"/>
          <w:szCs w:val="28"/>
        </w:rPr>
        <w:t>.</w:t>
      </w:r>
    </w:p>
    <w:p w:rsidR="00255636" w:rsidRPr="009E2A33" w:rsidRDefault="00255636" w:rsidP="00BA3187">
      <w:pPr>
        <w:pStyle w:val="a7"/>
        <w:shd w:val="clear" w:color="auto" w:fill="FFFFFF"/>
        <w:ind w:firstLine="709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9E2A33">
        <w:rPr>
          <w:sz w:val="28"/>
          <w:szCs w:val="28"/>
        </w:rPr>
        <w:t>Район включает 15 муниципальных образований,</w:t>
      </w:r>
      <w:r w:rsidRPr="009E2A33">
        <w:rPr>
          <w:sz w:val="28"/>
          <w:szCs w:val="28"/>
        </w:rPr>
        <w:br/>
        <w:t>в которые входят 45 населенных пунктов, из них 1 город,</w:t>
      </w:r>
      <w:r w:rsidRPr="009E2A33">
        <w:rPr>
          <w:sz w:val="28"/>
          <w:szCs w:val="28"/>
        </w:rPr>
        <w:br/>
        <w:t>2 поселка городского типа, 42 сельских населенных пункта.</w:t>
      </w:r>
    </w:p>
    <w:p w:rsidR="00255636" w:rsidRPr="009E2A33" w:rsidRDefault="00255636" w:rsidP="00BA3187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9E2A33">
        <w:rPr>
          <w:color w:val="000000"/>
          <w:sz w:val="28"/>
          <w:szCs w:val="28"/>
        </w:rPr>
        <w:t xml:space="preserve">Ахтубинский район – самый большой по площади район области – </w:t>
      </w:r>
      <w:r w:rsidR="00150CFE" w:rsidRPr="009E2A33">
        <w:rPr>
          <w:color w:val="000000"/>
          <w:sz w:val="28"/>
          <w:szCs w:val="28"/>
        </w:rPr>
        <w:t>5,8</w:t>
      </w:r>
      <w:r w:rsidRPr="009E2A33">
        <w:rPr>
          <w:color w:val="000000"/>
          <w:sz w:val="28"/>
          <w:szCs w:val="28"/>
        </w:rPr>
        <w:t xml:space="preserve"> тыс. км</w:t>
      </w:r>
      <w:proofErr w:type="gramStart"/>
      <w:r w:rsidRPr="009E2A33">
        <w:rPr>
          <w:color w:val="000000"/>
          <w:sz w:val="28"/>
          <w:szCs w:val="28"/>
          <w:vertAlign w:val="superscript"/>
        </w:rPr>
        <w:t>2</w:t>
      </w:r>
      <w:proofErr w:type="gramEnd"/>
      <w:r w:rsidRPr="009E2A33">
        <w:rPr>
          <w:color w:val="000000"/>
          <w:sz w:val="28"/>
          <w:szCs w:val="28"/>
        </w:rPr>
        <w:t xml:space="preserve">. </w:t>
      </w:r>
      <w:r w:rsidRPr="009E2A33">
        <w:rPr>
          <w:color w:val="000000"/>
          <w:sz w:val="28"/>
          <w:szCs w:val="28"/>
          <w:shd w:val="clear" w:color="auto" w:fill="FFFFFF"/>
        </w:rPr>
        <w:t>Район граничит с Республикой</w:t>
      </w:r>
      <w:r w:rsidRPr="009E2A3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hyperlink r:id="rId9" w:tooltip="Казахстан" w:history="1">
        <w:r w:rsidRPr="009E2A33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Казахстан,</w:t>
        </w:r>
      </w:hyperlink>
      <w:r w:rsidRPr="009E2A33">
        <w:rPr>
          <w:color w:val="000000"/>
          <w:sz w:val="28"/>
          <w:szCs w:val="28"/>
        </w:rPr>
        <w:t xml:space="preserve"> </w:t>
      </w:r>
      <w:r w:rsidRPr="009E2A33">
        <w:rPr>
          <w:color w:val="000000"/>
          <w:sz w:val="28"/>
          <w:szCs w:val="28"/>
          <w:shd w:val="clear" w:color="auto" w:fill="FFFFFF"/>
        </w:rPr>
        <w:t xml:space="preserve">с </w:t>
      </w:r>
      <w:hyperlink r:id="rId10" w:tooltip="Черноярский район Астраханской области" w:history="1">
        <w:proofErr w:type="spellStart"/>
        <w:r w:rsidRPr="009E2A33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Черноярским</w:t>
        </w:r>
        <w:proofErr w:type="spellEnd"/>
        <w:r w:rsidRPr="009E2A33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,</w:t>
        </w:r>
      </w:hyperlink>
      <w:r w:rsidRPr="009E2A33">
        <w:rPr>
          <w:color w:val="000000"/>
          <w:sz w:val="28"/>
          <w:szCs w:val="28"/>
        </w:rPr>
        <w:t xml:space="preserve"> </w:t>
      </w:r>
      <w:hyperlink r:id="rId11" w:tooltip="Харабалинский район Астраханской области" w:history="1">
        <w:proofErr w:type="spellStart"/>
        <w:r w:rsidRPr="009E2A33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Харабалинским</w:t>
        </w:r>
        <w:proofErr w:type="spellEnd"/>
        <w:r w:rsidRPr="009E2A33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,</w:t>
        </w:r>
      </w:hyperlink>
      <w:r w:rsidRPr="009E2A33">
        <w:rPr>
          <w:color w:val="000000"/>
          <w:sz w:val="28"/>
          <w:szCs w:val="28"/>
        </w:rPr>
        <w:t xml:space="preserve"> </w:t>
      </w:r>
      <w:proofErr w:type="spellStart"/>
      <w:r w:rsidRPr="009E2A33">
        <w:rPr>
          <w:color w:val="000000"/>
          <w:sz w:val="28"/>
          <w:szCs w:val="28"/>
        </w:rPr>
        <w:t>Енотаевским</w:t>
      </w:r>
      <w:proofErr w:type="spellEnd"/>
      <w:r w:rsidRPr="009E2A33">
        <w:rPr>
          <w:color w:val="000000"/>
          <w:sz w:val="28"/>
          <w:szCs w:val="28"/>
        </w:rPr>
        <w:t xml:space="preserve"> районами астраханской области и с Волгоградской областью.</w:t>
      </w:r>
    </w:p>
    <w:p w:rsidR="00255636" w:rsidRPr="009E2A33" w:rsidRDefault="00255636" w:rsidP="00BA3187">
      <w:pPr>
        <w:pStyle w:val="a7"/>
        <w:shd w:val="clear" w:color="auto" w:fill="FFFFFF"/>
        <w:ind w:firstLine="709"/>
        <w:rPr>
          <w:color w:val="000000"/>
          <w:sz w:val="28"/>
          <w:szCs w:val="28"/>
        </w:rPr>
      </w:pPr>
      <w:r w:rsidRPr="009E2A33">
        <w:rPr>
          <w:color w:val="000000"/>
          <w:sz w:val="28"/>
          <w:szCs w:val="28"/>
          <w:shd w:val="clear" w:color="auto" w:fill="FFFFFF"/>
        </w:rPr>
        <w:t>Население района на 1 января 2016 года составляет 65,218 тыс. человек. Проживают представители 66 национальностей – русские, казахи, украинцы, чеченцы, татары и др.</w:t>
      </w:r>
    </w:p>
    <w:p w:rsidR="00255636" w:rsidRPr="009E2A33" w:rsidRDefault="00255636" w:rsidP="00BA3187">
      <w:pPr>
        <w:pStyle w:val="20"/>
        <w:tabs>
          <w:tab w:val="left" w:pos="9360"/>
        </w:tabs>
        <w:spacing w:after="0" w:line="240" w:lineRule="auto"/>
        <w:ind w:left="0" w:firstLine="709"/>
        <w:jc w:val="both"/>
      </w:pPr>
      <w:r w:rsidRPr="009E2A33">
        <w:t>Разнообразие полезных ископаемых предопределено особенностями геологического строения и климата региона. К настоящему времени на территории Ахтубинского района открыт ряд месторождений поваренной соли, гипса, минеральной воды, лечебных грязей и других полезных ископаемых.</w:t>
      </w:r>
    </w:p>
    <w:p w:rsidR="00255636" w:rsidRPr="009E2A33" w:rsidRDefault="00255636" w:rsidP="00BA3187">
      <w:pPr>
        <w:pStyle w:val="a7"/>
        <w:shd w:val="clear" w:color="auto" w:fill="FFFFFF"/>
        <w:ind w:firstLine="709"/>
        <w:rPr>
          <w:color w:val="000000"/>
          <w:sz w:val="28"/>
          <w:szCs w:val="28"/>
          <w:shd w:val="clear" w:color="auto" w:fill="FFFFFF"/>
        </w:rPr>
      </w:pPr>
      <w:r w:rsidRPr="009E2A33">
        <w:rPr>
          <w:color w:val="000000"/>
          <w:sz w:val="28"/>
          <w:szCs w:val="28"/>
          <w:shd w:val="clear" w:color="auto" w:fill="FFFFFF"/>
        </w:rPr>
        <w:t xml:space="preserve">Уникальное </w:t>
      </w:r>
      <w:proofErr w:type="spellStart"/>
      <w:r w:rsidRPr="009E2A33">
        <w:rPr>
          <w:color w:val="000000"/>
          <w:sz w:val="28"/>
          <w:szCs w:val="28"/>
          <w:shd w:val="clear" w:color="auto" w:fill="FFFFFF"/>
        </w:rPr>
        <w:t>Баскунчакское</w:t>
      </w:r>
      <w:proofErr w:type="spellEnd"/>
      <w:r w:rsidRPr="009E2A33">
        <w:rPr>
          <w:color w:val="000000"/>
          <w:sz w:val="28"/>
          <w:szCs w:val="28"/>
          <w:shd w:val="clear" w:color="auto" w:fill="FFFFFF"/>
        </w:rPr>
        <w:t xml:space="preserve"> месторождение поваренной соли является одним из крупнейших в России.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находится крупнейший центр испытаний авиационной техники – ГЛИЦ им. В. П. Чкалова.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E2A33">
        <w:rPr>
          <w:rFonts w:ascii="Times New Roman" w:hAnsi="Times New Roman" w:cs="Times New Roman"/>
          <w:sz w:val="28"/>
          <w:szCs w:val="28"/>
          <w:lang w:eastAsia="ar-SA"/>
        </w:rPr>
        <w:t>Год 2015 был годом глубоких кризисных явлений, которые коснулись и Ахтубинского района.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в 2015 году на территории района сложился на уровне 2014 года и составил 100 %, в том числе по отраслям: добыча полезных ископаемых – 111,6 %,  в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 добыча соли -140%; обрабатывающие производства – 92,9 %; производство и распределение электроэнергии, газа и воды – 85,7 %.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видам экономической деятельности – 99,4 % к уровню соответствующего периода 2014 года.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структуре объемов отгруженных товаров собственного производства, выполненных работ и услуг добыча полезных ископаемых занимает 62,2 %, обрабатывающие производства – 23,1 %, производство, передача и распределение электроэнергии, газа и воды – 14,7 %.</w:t>
      </w:r>
    </w:p>
    <w:p w:rsidR="00255636" w:rsidRPr="009E2A33" w:rsidRDefault="00255636" w:rsidP="00BA3187">
      <w:pPr>
        <w:pStyle w:val="a7"/>
        <w:shd w:val="clear" w:color="auto" w:fill="FFFFFF"/>
        <w:ind w:firstLine="709"/>
        <w:rPr>
          <w:sz w:val="28"/>
          <w:szCs w:val="28"/>
        </w:rPr>
      </w:pPr>
      <w:r w:rsidRPr="009E2A33">
        <w:rPr>
          <w:sz w:val="28"/>
          <w:szCs w:val="28"/>
        </w:rPr>
        <w:t>За последние годы Ахтубинский район достиг значительных результатов в развитии агропромышленного комплекса, особенно в растениеводческой отрасли, занимая одно из лидирующих мест по производству овощебахчевой продукции.</w:t>
      </w:r>
    </w:p>
    <w:p w:rsidR="00255636" w:rsidRPr="009E2A33" w:rsidRDefault="00255636" w:rsidP="00BA31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Объем валовой продукции за 2015 год составил более 4,9 млрд. рублей, что составило 132,0 % к уровню 2014 года.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было произведено: овощей 172497 тонн, это на 9,0 % больше чем в 2014 году; бахчевой продукции 42130 тонн, на 35,3 % больше 2014 года; картофеля 27802 тонн практически на уровне прошлого; лука - 10658 тонн, что составило 124,4 % к уровню прошлого года.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На сегодня в районе методом капельного орошения выращиваются сельскохозяйственные культуры на площади более 4150 га.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На долю продукции животноводства приходится 39 % валовой продукции сельского хозяйства района (1,4 млрд. руб.). В отрасли животноводства в 2015 году производителям животноводческой продукции района удалось сохранить тенденцию роста производства животноводческой продукции, кроме молока.</w:t>
      </w:r>
    </w:p>
    <w:p w:rsidR="00255636" w:rsidRPr="009E2A33" w:rsidRDefault="00255636" w:rsidP="00BA3187">
      <w:pPr>
        <w:pStyle w:val="4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9E2A33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Объем работ, выполненных по виду экономической деятельности «Строительство» в 2015 году составил 1 млрд. 440 млн. рублей или 97,3 % от уровня 2014 года.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A33">
        <w:rPr>
          <w:rFonts w:ascii="Times New Roman" w:hAnsi="Times New Roman" w:cs="Times New Roman"/>
          <w:bCs/>
          <w:sz w:val="28"/>
          <w:szCs w:val="28"/>
        </w:rPr>
        <w:t>В 2015 году введено в действие 15,1 тыс. кв. метров жилья.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Инвестиции в основной капитал за текущий период составили 9076446 тыс. руб., что в 3,4 раза выше уровня 2014 года (такое увеличение произошло за счет строительства объектов инфраструктуры для взлетно-посадочной полосы, построенной в 2014 году).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2A33">
        <w:rPr>
          <w:rFonts w:ascii="Times New Roman" w:hAnsi="Times New Roman" w:cs="Times New Roman"/>
          <w:sz w:val="28"/>
          <w:szCs w:val="28"/>
        </w:rPr>
        <w:t>Торговое обслуживание населения района осуществляют 618 объектов стационарной розничной торговой сети, 1 сельскохозяйственный розничный рынок, 8 ярмарок и 50 предприятий общественного питания. За 2015 год оборот розничной торговли составил более 1,9 млрд. руб.</w:t>
      </w:r>
      <w:r w:rsidRPr="009E2A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Оборот общественного питания более 80 млн. руб.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Объем платных услуг населению оказан на сумму более 754 млн. рублей.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исполнении поручений Президента Российской Федерации В.В. Путина о бесплатном предоставлении земельных участков многодетным семьям сформировано и поставлено на кадастровый учет для предоставления многодетным семьям 4 земельных участка площадью 3 630 кв. м.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Вся деятельность администрации во всех сферах экономики и социальной сферы направлена на повышение уровня жизни населения.</w:t>
      </w:r>
    </w:p>
    <w:p w:rsidR="00255636" w:rsidRPr="009E2A33" w:rsidRDefault="00255636" w:rsidP="00BA3187">
      <w:pPr>
        <w:pStyle w:val="3"/>
        <w:spacing w:before="0" w:after="0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9E2A33">
        <w:rPr>
          <w:rFonts w:ascii="Times New Roman" w:hAnsi="Times New Roman" w:cs="Times New Roman"/>
          <w:b w:val="0"/>
          <w:sz w:val="28"/>
          <w:szCs w:val="28"/>
        </w:rPr>
        <w:t xml:space="preserve">Среднесписочная численность работников крупных и средних предприятий в 2015 году - 11416 человек, по отношению к 2014 году это 97,6 %.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Уровень зарегистрированной безработицы </w:t>
      </w:r>
      <w:proofErr w:type="gramStart"/>
      <w:r w:rsidRPr="009E2A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eastAsia="Calibri" w:hAnsi="Times New Roman" w:cs="Times New Roman"/>
          <w:sz w:val="28"/>
          <w:szCs w:val="28"/>
        </w:rPr>
        <w:t>Ахтубинском</w:t>
      </w:r>
      <w:proofErr w:type="gram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районе на протяжении двух лет остается неизменным 0,8 % от экономически активного населения. Коэффициент напряженности на рынке труда также в течение двух последних лет находится на уровне 1,1 человек на 1 вакансию.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eastAsia="Calibri" w:hAnsi="Times New Roman" w:cs="Times New Roman"/>
          <w:sz w:val="28"/>
          <w:szCs w:val="28"/>
        </w:rPr>
        <w:t>Уровень трудоустройства составил более 77,0 %.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Одним из индикаторов, характеризующих уровень жизни населения, является заработная плата.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За 2015 год размер среднемесячной начисленной заработной платы работников крупных и средних предприятий района сложился в среднем 21151,5 руб. (по области – 28391,2 руб.), это на уровне 2014 года.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</w:t>
      </w:r>
      <w:proofErr w:type="gramEnd"/>
      <w:r w:rsidRPr="009E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исполнении Указа Президента РФ от 07.05.2012 № 599 «О мерах по реализации государственной политики в области образования и науки» </w:t>
      </w:r>
      <w:r w:rsidRPr="009E2A33">
        <w:rPr>
          <w:rFonts w:ascii="Times New Roman" w:hAnsi="Times New Roman" w:cs="Times New Roman"/>
          <w:sz w:val="28"/>
          <w:szCs w:val="28"/>
        </w:rPr>
        <w:t xml:space="preserve">в 2013-2015 годах </w:t>
      </w:r>
      <w:r w:rsidRPr="009E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открыто </w:t>
      </w:r>
      <w:r w:rsidRPr="009E2A33">
        <w:rPr>
          <w:rFonts w:ascii="Times New Roman" w:hAnsi="Times New Roman" w:cs="Times New Roman"/>
          <w:sz w:val="28"/>
          <w:szCs w:val="28"/>
        </w:rPr>
        <w:t>415 мест дошкольного образования  на базе 11 образовательных учреждений годах позволило полностью решить проблему очередности в дошкольные учреждения детей в возрасте от 3 до 7 лет.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 xml:space="preserve">Деятельность администрации МО «Ахтубинский район» в 2015 году была направлена на решение вопросов местного значения и исполнение полномочий, переданных органами государственной власти Астраханской области органам местного самоуправления МО «Ахтубинский район», в соответствии с Уставом МО «Ахтубинский район» и Федеральным законом от 06.10.2003г. № 131-ФЗ «Об общих принципах организации местного самоуправления в Российской Федерации». </w:t>
      </w:r>
      <w:proofErr w:type="gramEnd"/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Приоритетным направлением деятельности администрации являлось и является расширение социально-экономической базы, создание для жителей района благоприятной среды обитания, охрана их здоровья, предоставление широкого доступа к образованию и культуре, а также обеспечение личной безопасности жителей.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E2A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Экономическое развитие.</w:t>
      </w:r>
    </w:p>
    <w:p w:rsidR="00C27B09" w:rsidRPr="009E2A33" w:rsidRDefault="00255636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C27B09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Территориального органа Федеральной службы государственной статистики по Астраханской области на 1 января 2016 года на территории Ахтубинского района осуществляли свою деятельность </w:t>
      </w:r>
      <w:r w:rsidR="00890308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1803 субъектов малого бизнеса.</w:t>
      </w:r>
    </w:p>
    <w:p w:rsidR="00255636" w:rsidRPr="009E2A33" w:rsidRDefault="00102700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При среднегодовой численности постоянного населения 65662 человек</w:t>
      </w:r>
      <w:r w:rsidR="00583319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255636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исло субъектов малого и среднего предпринимательства на 10</w:t>
      </w:r>
      <w:r w:rsidR="00C27B09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</w:t>
      </w:r>
      <w:r w:rsidR="00255636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населения </w:t>
      </w:r>
      <w:r w:rsidR="00890308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составило 274,5 единицы, </w:t>
      </w:r>
      <w:r w:rsidR="00255636" w:rsidRPr="009E2A33">
        <w:rPr>
          <w:rFonts w:ascii="Times New Roman" w:hAnsi="Times New Roman" w:cs="Times New Roman"/>
          <w:sz w:val="28"/>
          <w:szCs w:val="28"/>
        </w:rPr>
        <w:t xml:space="preserve">снизился на 6,6 процентных пункта к уровню 2014 года.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На снижение данного показателя повлияли следующие факторы: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увеличение стоимости лицензии на алкоголь на 162,5 % (с 40,0 тыс. рублей до 65,0 тыс. рублей);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снижение среднегодовой численности населения Ахтубинского района на 1,05 процентных пункт</w:t>
      </w:r>
      <w:r w:rsidR="000F1FE7" w:rsidRPr="009E2A33">
        <w:rPr>
          <w:rFonts w:ascii="Times New Roman" w:hAnsi="Times New Roman" w:cs="Times New Roman"/>
          <w:sz w:val="28"/>
          <w:szCs w:val="28"/>
        </w:rPr>
        <w:t>ов;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работа комиссии по неформальному рынку занятости (закрытие нераб</w:t>
      </w:r>
      <w:r w:rsidR="00890308" w:rsidRPr="009E2A33">
        <w:rPr>
          <w:rFonts w:ascii="Times New Roman" w:hAnsi="Times New Roman" w:cs="Times New Roman"/>
          <w:sz w:val="28"/>
          <w:szCs w:val="28"/>
        </w:rPr>
        <w:t>отающих предприятий).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33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поддержки малого бизнеса рассматривается в качестве одного из приоритетов муниципальной политики и стратегии администрации МО «Ахтубинский район».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33">
        <w:rPr>
          <w:rFonts w:ascii="Times New Roman" w:hAnsi="Times New Roman" w:cs="Times New Roman"/>
          <w:color w:val="000000"/>
          <w:sz w:val="28"/>
          <w:szCs w:val="28"/>
        </w:rPr>
        <w:t>Система муниципальной поддержки малого и среднего предпринимательства Ахтубинского района включает следующие элементы:</w:t>
      </w:r>
    </w:p>
    <w:p w:rsidR="00255636" w:rsidRPr="009E2A33" w:rsidRDefault="00255636" w:rsidP="00BA3187">
      <w:pPr>
        <w:pStyle w:val="a6"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E2A33">
        <w:rPr>
          <w:color w:val="000000"/>
          <w:sz w:val="28"/>
          <w:szCs w:val="28"/>
        </w:rPr>
        <w:t xml:space="preserve">разработка нормативной правовой базы; </w:t>
      </w:r>
    </w:p>
    <w:p w:rsidR="00255636" w:rsidRPr="009E2A33" w:rsidRDefault="00255636" w:rsidP="00BA3187">
      <w:pPr>
        <w:pStyle w:val="a6"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E2A33">
        <w:rPr>
          <w:color w:val="000000"/>
          <w:sz w:val="28"/>
          <w:szCs w:val="28"/>
        </w:rPr>
        <w:t>инфраструктура поддержки малого предпринимательства, обеспечивающая информационное, образовательное и консультационное сопровождение начинающих и действующих предпринимателей;</w:t>
      </w:r>
    </w:p>
    <w:p w:rsidR="00255636" w:rsidRPr="009E2A33" w:rsidRDefault="00255636" w:rsidP="00BA3187">
      <w:pPr>
        <w:pStyle w:val="a6"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E2A33">
        <w:rPr>
          <w:color w:val="000000"/>
          <w:sz w:val="28"/>
          <w:szCs w:val="28"/>
        </w:rPr>
        <w:t>обеспечение предпринимателям доступа к материальным и финансовым ресурсам, необходимым для создания и развития бизнеса;</w:t>
      </w:r>
    </w:p>
    <w:p w:rsidR="00255636" w:rsidRPr="009E2A33" w:rsidRDefault="00255636" w:rsidP="00BA3187">
      <w:pPr>
        <w:pStyle w:val="a6"/>
        <w:numPr>
          <w:ilvl w:val="0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E2A33">
        <w:rPr>
          <w:color w:val="000000"/>
          <w:sz w:val="28"/>
          <w:szCs w:val="28"/>
        </w:rPr>
        <w:lastRenderedPageBreak/>
        <w:t>содействие в расширении рынков сбыта производимых товаров и услуг.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33">
        <w:rPr>
          <w:rFonts w:ascii="Times New Roman" w:hAnsi="Times New Roman" w:cs="Times New Roman"/>
          <w:color w:val="000000"/>
          <w:sz w:val="28"/>
          <w:szCs w:val="28"/>
        </w:rPr>
        <w:t>Специалистами администрации района регулярно проводится работа по информированию субъектов малого и среднего бизнеса о новых программах поддержки, форумах, конкурсах.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33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Сформированы и выставлены на сайтах района и области инвестиционные площадки.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color w:val="000000"/>
          <w:sz w:val="28"/>
          <w:szCs w:val="28"/>
        </w:rPr>
        <w:t>Все проводимые мероприятия по развитию и поддержке малого и среднего предпринимательства позволят достичь в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среднесрочном периоде (201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6 - 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ы)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следующих показателей по параметру «</w:t>
      </w:r>
      <w:r w:rsidRPr="009E2A33"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 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 10 000 населения»:  в 201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-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278,09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ед.; в 201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281,03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ед.; в 2018 году –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283,31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ед.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Доля среднесписочной численности работников малых и средних предприятий (без внешних совместителей) </w:t>
      </w:r>
      <w:r w:rsidR="00DF3048" w:rsidRPr="009E2A33">
        <w:rPr>
          <w:rFonts w:ascii="Times New Roman" w:hAnsi="Times New Roman" w:cs="Times New Roman"/>
          <w:sz w:val="28"/>
          <w:szCs w:val="28"/>
          <w:lang w:eastAsia="ru-RU"/>
        </w:rPr>
        <w:t>в 2015 году составила 12,3%</w:t>
      </w:r>
      <w:r w:rsidR="00950C79"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2014 году –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13,5%</w:t>
      </w:r>
      <w:r w:rsidR="00950C79" w:rsidRPr="009E2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Падение численности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работающих 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малых предприятиях связано с </w:t>
      </w:r>
      <w:r w:rsidR="00950C79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закрытием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0C79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малых и </w:t>
      </w:r>
      <w:proofErr w:type="spellStart"/>
      <w:r w:rsidR="00950C79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950C79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, и переходом части</w:t>
      </w:r>
      <w:r w:rsidR="00150CFE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предприятий на индивидуальное предпринимательство, а также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снижением численности населения района.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В 2016 и последующих годах планируется сохранение среднесписочной численности работников предприятий района в связи со стабилизацией экономической ситуации на рынке труда, вследствие чего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муниципального образования «Ахтубинский район» составит в 2016</w:t>
      </w:r>
      <w:r w:rsidR="000F1FE7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– 12,35,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2017</w:t>
      </w:r>
      <w:r w:rsidR="000F1FE7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2018 годах по 12,3</w:t>
      </w:r>
      <w:r w:rsidR="000F1FE7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="000F1FE7"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%,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при с</w:t>
      </w:r>
      <w:r w:rsidRPr="009E2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реднесписочной численности работников (без внешних совместителей) всех предприятий и организаций за 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>201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9E2A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– 13406 человек; 2017 год - 13456 человек, 2018 год-13490 человек.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3. Объем инвестиций в основной капитал по крупным и средним предприятиям и организациям, зарегистрированным на территории Ахтубинского района</w:t>
      </w:r>
      <w:r w:rsidR="000318BF" w:rsidRPr="009E2A3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 в 2015 году составил 9076,446 млн. руб., или 336,4 % к аналогичному периоду 2014 года (2478,722 млн. руб.).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Объем инвестиций (за исключением бюджетных средств) в расчете на 1 человека за 2015 год составил 4447,4 руб., а в ценах 2003года – 1588,7 руб., или 42,6 % к аналогичному периоду 2014 года (3733,2 руб.).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инвестиций по «чистым» видам экономической деятельности по </w:t>
      </w:r>
      <w:proofErr w:type="spellStart"/>
      <w:r w:rsidRPr="009E2A33">
        <w:rPr>
          <w:rFonts w:ascii="Times New Roman" w:hAnsi="Times New Roman" w:cs="Times New Roman"/>
          <w:sz w:val="28"/>
          <w:szCs w:val="28"/>
          <w:lang w:eastAsia="ru-RU"/>
        </w:rPr>
        <w:t>Ахтубинскому</w:t>
      </w:r>
      <w:proofErr w:type="spellEnd"/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показывает, что основная доля 97,1 % (8811,163 млн. руб.) освоено в отрасли «Транспорт и связь» (эксплуатация взлетно-посадочных полос, ангаров и т.п.).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Данные показатели за 2015 г. сложились от реализации инвестиционных проектов по следующим направлениям: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2A33">
        <w:rPr>
          <w:rStyle w:val="a5"/>
          <w:rFonts w:ascii="Times New Roman" w:hAnsi="Times New Roman" w:cs="Times New Roman"/>
          <w:b w:val="0"/>
          <w:sz w:val="28"/>
          <w:szCs w:val="28"/>
        </w:rPr>
        <w:t>- 8811,163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 млн. руб.</w:t>
      </w:r>
      <w:r w:rsidRPr="009E2A33">
        <w:rPr>
          <w:rStyle w:val="a5"/>
          <w:rFonts w:ascii="Times New Roman" w:hAnsi="Times New Roman" w:cs="Times New Roman"/>
          <w:sz w:val="28"/>
          <w:szCs w:val="28"/>
        </w:rPr>
        <w:t xml:space="preserve"> - </w:t>
      </w:r>
      <w:r w:rsidRPr="009E2A33">
        <w:rPr>
          <w:rStyle w:val="a5"/>
          <w:rFonts w:ascii="Times New Roman" w:hAnsi="Times New Roman" w:cs="Times New Roman"/>
          <w:b w:val="0"/>
          <w:sz w:val="28"/>
          <w:szCs w:val="28"/>
        </w:rPr>
        <w:t>строительство ангаров и других объектов инфраструктуры для эксплуатации новой взлетно-посадочной полосы для Государственного летно-испытательного центра им. В. Чкалова;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- 55,5 млн.</w:t>
      </w:r>
      <w:r w:rsidR="000318BF"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>руб. - ЗАО «</w:t>
      </w:r>
      <w:proofErr w:type="spellStart"/>
      <w:r w:rsidRPr="009E2A33">
        <w:rPr>
          <w:rFonts w:ascii="Times New Roman" w:hAnsi="Times New Roman" w:cs="Times New Roman"/>
          <w:sz w:val="28"/>
          <w:szCs w:val="28"/>
          <w:lang w:eastAsia="ru-RU"/>
        </w:rPr>
        <w:t>Кнауф</w:t>
      </w:r>
      <w:proofErr w:type="spellEnd"/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 Гипс Баскунчак:</w:t>
      </w:r>
      <w:r w:rsidRPr="009E2A33">
        <w:rPr>
          <w:rFonts w:ascii="Times New Roman" w:hAnsi="Times New Roman" w:cs="Times New Roman"/>
          <w:sz w:val="28"/>
          <w:szCs w:val="28"/>
        </w:rPr>
        <w:t xml:space="preserve"> приобретение установки шпаклевочных смесей; приобретение и монтаж административно-бытового помещения для складского хозяйства; модернизация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гипсоварочного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производства – перевод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гипсоварочных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котлов № 1 и № 2 на непрерывный режим варки; приобретение техники;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- 24,7 млн. руб. – ООО «Птицефабрика «Владимировская»: приобретение комплекта птицеводческого оборудования для содержания сельскохозяйственной птицы;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Руссоль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»: модернизация площадки для хранения соли; внедрение экологических способов транспортировки соли; строительство 2 новых комбайнов по добыче соли.</w:t>
      </w:r>
    </w:p>
    <w:p w:rsidR="00255636" w:rsidRPr="009E2A33" w:rsidRDefault="00255636" w:rsidP="00BA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- 97,4 млн. руб. – развитие сельского хозяйства Ахтубинского района.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В 2016 году инвестиции ожидаются в объеме 3759,9 млн. руб., в 2017 –3994,1 млн. руб., в 2018 –4272,8 млн. руб.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Бюджетные инвестиции составят в 2016 году 3446,2 млн. руб., 2017 – 3660,8 млн. руб., в 2018 – 3916,2 млн. руб.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Объем инвестиций в основной капитал (за исключением бюджетных средств) в расчете на 1 человека в ценах 2003года составит: в 2016 году – 1615,2 руб., в 2017 году – 1636,0 руб., в 2018 году – 1667,7 руб.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2A33">
        <w:rPr>
          <w:rFonts w:ascii="Times New Roman" w:hAnsi="Times New Roman" w:cs="Times New Roman"/>
          <w:sz w:val="28"/>
          <w:szCs w:val="28"/>
          <w:lang w:eastAsia="ru-RU"/>
        </w:rPr>
        <w:t>На 2016 - 2018 годы определены основные направления развития района и инвестиционные проекты, которые необходимо реализовать. Наиболее крупные из них: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Строительство цеха по сборке легких многоцелевых самолетов с взлетно-посадочной полосой и прочей инфраструктурой ООО НПА «</w:t>
      </w:r>
      <w:proofErr w:type="spellStart"/>
      <w:r w:rsidRPr="009E2A33">
        <w:rPr>
          <w:sz w:val="28"/>
          <w:szCs w:val="28"/>
        </w:rPr>
        <w:t>Скайпонт</w:t>
      </w:r>
      <w:proofErr w:type="spellEnd"/>
      <w:r w:rsidRPr="009E2A33">
        <w:rPr>
          <w:sz w:val="28"/>
          <w:szCs w:val="28"/>
        </w:rPr>
        <w:t xml:space="preserve">». Ориентировочная стоимость данного инвестиционного проекта составит 15млрд. руб. Проект рассчитан на 2016-2018 </w:t>
      </w:r>
      <w:proofErr w:type="spellStart"/>
      <w:r w:rsidRPr="009E2A33">
        <w:rPr>
          <w:sz w:val="28"/>
          <w:szCs w:val="28"/>
        </w:rPr>
        <w:t>г.</w:t>
      </w:r>
      <w:proofErr w:type="gramStart"/>
      <w:r w:rsidRPr="009E2A33">
        <w:rPr>
          <w:sz w:val="28"/>
          <w:szCs w:val="28"/>
        </w:rPr>
        <w:t>г</w:t>
      </w:r>
      <w:proofErr w:type="spellEnd"/>
      <w:proofErr w:type="gramEnd"/>
      <w:r w:rsidRPr="009E2A33">
        <w:rPr>
          <w:sz w:val="28"/>
          <w:szCs w:val="28"/>
        </w:rPr>
        <w:t>.;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Строительство завода по производству битум</w:t>
      </w:r>
      <w:proofErr w:type="gramStart"/>
      <w:r w:rsidRPr="009E2A33">
        <w:rPr>
          <w:sz w:val="28"/>
          <w:szCs w:val="28"/>
        </w:rPr>
        <w:t>а ООО</w:t>
      </w:r>
      <w:proofErr w:type="gramEnd"/>
      <w:r w:rsidRPr="009E2A33">
        <w:rPr>
          <w:sz w:val="28"/>
          <w:szCs w:val="28"/>
        </w:rPr>
        <w:t xml:space="preserve"> «Южно-нефтяная компания». </w:t>
      </w:r>
      <w:r w:rsidRPr="009E2A33">
        <w:rPr>
          <w:sz w:val="28"/>
          <w:szCs w:val="28"/>
          <w:shd w:val="clear" w:color="auto" w:fill="FFFFFF"/>
        </w:rPr>
        <w:t>В проект уже вложено более 150 тыс. долларов.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 xml:space="preserve">Строительство второй очереди логистических центров </w:t>
      </w:r>
      <w:proofErr w:type="spellStart"/>
      <w:r w:rsidRPr="009E2A33">
        <w:rPr>
          <w:sz w:val="28"/>
          <w:szCs w:val="28"/>
        </w:rPr>
        <w:t>с</w:t>
      </w:r>
      <w:proofErr w:type="gramStart"/>
      <w:r w:rsidRPr="009E2A33">
        <w:rPr>
          <w:sz w:val="28"/>
          <w:szCs w:val="28"/>
        </w:rPr>
        <w:t>.З</w:t>
      </w:r>
      <w:proofErr w:type="gramEnd"/>
      <w:r w:rsidRPr="009E2A33">
        <w:rPr>
          <w:sz w:val="28"/>
          <w:szCs w:val="28"/>
        </w:rPr>
        <w:t>олотуха</w:t>
      </w:r>
      <w:proofErr w:type="spellEnd"/>
      <w:r w:rsidRPr="009E2A33">
        <w:rPr>
          <w:sz w:val="28"/>
          <w:szCs w:val="28"/>
        </w:rPr>
        <w:t xml:space="preserve"> и с. Пологое Займище на общую сумму более 110 млн. руб.;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 xml:space="preserve">Строительство второй очереди овощехранилищ </w:t>
      </w:r>
      <w:proofErr w:type="gramStart"/>
      <w:r w:rsidRPr="009E2A33">
        <w:rPr>
          <w:sz w:val="28"/>
          <w:szCs w:val="28"/>
        </w:rPr>
        <w:t>в</w:t>
      </w:r>
      <w:proofErr w:type="gramEnd"/>
      <w:r w:rsidRPr="009E2A33">
        <w:rPr>
          <w:sz w:val="28"/>
          <w:szCs w:val="28"/>
        </w:rPr>
        <w:t xml:space="preserve"> </w:t>
      </w:r>
      <w:proofErr w:type="gramStart"/>
      <w:r w:rsidRPr="009E2A33">
        <w:rPr>
          <w:sz w:val="28"/>
          <w:szCs w:val="28"/>
        </w:rPr>
        <w:t>с</w:t>
      </w:r>
      <w:proofErr w:type="gramEnd"/>
      <w:r w:rsidRPr="009E2A33">
        <w:rPr>
          <w:sz w:val="28"/>
          <w:szCs w:val="28"/>
        </w:rPr>
        <w:t>. Капустин Яр – 30,0 млн. рублей;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 xml:space="preserve">Реконструкция ООО «Птицефабрика Владимировская» </w:t>
      </w:r>
      <w:proofErr w:type="gramStart"/>
      <w:r w:rsidRPr="009E2A33">
        <w:rPr>
          <w:sz w:val="28"/>
          <w:szCs w:val="28"/>
        </w:rPr>
        <w:t>в</w:t>
      </w:r>
      <w:proofErr w:type="gramEnd"/>
      <w:r w:rsidRPr="009E2A33">
        <w:rPr>
          <w:sz w:val="28"/>
          <w:szCs w:val="28"/>
        </w:rPr>
        <w:t xml:space="preserve"> с. Покровка. Инвестиции необходимые для реализации данного проекта составят 90 млн. руб.;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 xml:space="preserve">Строительство мини цехов по переработке молока в </w:t>
      </w:r>
      <w:proofErr w:type="spellStart"/>
      <w:r w:rsidRPr="009E2A33">
        <w:rPr>
          <w:sz w:val="28"/>
          <w:szCs w:val="28"/>
        </w:rPr>
        <w:t>с</w:t>
      </w:r>
      <w:proofErr w:type="gramStart"/>
      <w:r w:rsidRPr="009E2A33">
        <w:rPr>
          <w:sz w:val="28"/>
          <w:szCs w:val="28"/>
        </w:rPr>
        <w:t>.П</w:t>
      </w:r>
      <w:proofErr w:type="gramEnd"/>
      <w:r w:rsidRPr="009E2A33">
        <w:rPr>
          <w:sz w:val="28"/>
          <w:szCs w:val="28"/>
        </w:rPr>
        <w:t>окровка</w:t>
      </w:r>
      <w:proofErr w:type="spellEnd"/>
      <w:r w:rsidRPr="009E2A33">
        <w:rPr>
          <w:sz w:val="28"/>
          <w:szCs w:val="28"/>
        </w:rPr>
        <w:t>, потребует вложение инвестиций не менее 18млн.руб.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ЗАО «</w:t>
      </w:r>
      <w:proofErr w:type="spellStart"/>
      <w:r w:rsidRPr="009E2A33">
        <w:rPr>
          <w:sz w:val="28"/>
          <w:szCs w:val="28"/>
        </w:rPr>
        <w:t>Кнауф</w:t>
      </w:r>
      <w:proofErr w:type="spellEnd"/>
      <w:r w:rsidRPr="009E2A33">
        <w:rPr>
          <w:sz w:val="28"/>
          <w:szCs w:val="28"/>
        </w:rPr>
        <w:t xml:space="preserve"> Гипс Баскунчак» планирует дальнейшую модернизацию производства;</w:t>
      </w:r>
    </w:p>
    <w:p w:rsidR="00255636" w:rsidRPr="009E2A33" w:rsidRDefault="00255636" w:rsidP="00BA3187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ООО «</w:t>
      </w:r>
      <w:proofErr w:type="spellStart"/>
      <w:r w:rsidRPr="009E2A33">
        <w:rPr>
          <w:sz w:val="28"/>
          <w:szCs w:val="28"/>
        </w:rPr>
        <w:t>Руссоль</w:t>
      </w:r>
      <w:proofErr w:type="spellEnd"/>
      <w:r w:rsidRPr="009E2A33">
        <w:rPr>
          <w:sz w:val="28"/>
          <w:szCs w:val="28"/>
        </w:rPr>
        <w:t>» дальнейшая модернизация производства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Реализация перечисленных и других мероприятий позволит ежегодно наращивать объемы инвестиционных вложений на территории муниципального образования.</w:t>
      </w:r>
    </w:p>
    <w:p w:rsidR="00150CFE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4. </w:t>
      </w:r>
      <w:r w:rsidR="00150CFE" w:rsidRPr="009E2A33">
        <w:rPr>
          <w:rFonts w:ascii="Times New Roman" w:hAnsi="Times New Roman" w:cs="Times New Roman"/>
          <w:sz w:val="28"/>
          <w:szCs w:val="28"/>
        </w:rPr>
        <w:t>По состоянию на 01.01.2016 года общая площадь земель в границах муниципального образования «Ахтубинский район» составляет 579959 га.</w:t>
      </w:r>
    </w:p>
    <w:p w:rsidR="00150CFE" w:rsidRPr="009E2A33" w:rsidRDefault="00150CFE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>Общая площадь земель района, которая подлежит налогообложению, согласно действующему законодательству, составляет 417232 га.</w:t>
      </w:r>
    </w:p>
    <w:p w:rsidR="00150CFE" w:rsidRPr="009E2A33" w:rsidRDefault="00150CFE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Данная площадь складывается из следующих показателей: общая площадь района – 579959</w:t>
      </w:r>
      <w:r w:rsidR="006C05E7" w:rsidRPr="009E2A33">
        <w:rPr>
          <w:rFonts w:ascii="Times New Roman" w:hAnsi="Times New Roman" w:cs="Times New Roman"/>
          <w:sz w:val="28"/>
          <w:szCs w:val="28"/>
        </w:rPr>
        <w:t xml:space="preserve"> га; </w:t>
      </w:r>
      <w:r w:rsidRPr="009E2A33">
        <w:rPr>
          <w:rFonts w:ascii="Times New Roman" w:hAnsi="Times New Roman" w:cs="Times New Roman"/>
          <w:sz w:val="28"/>
          <w:szCs w:val="28"/>
        </w:rPr>
        <w:t>за вычетом:</w:t>
      </w:r>
      <w:r w:rsidR="00AA1554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 xml:space="preserve">площади земельных участков, ограниченных в обороте в соответствии с законодательством РФ, предоставленных для обеспечения обороны и безопасности – 58670 га; площади земельных участков, ограниченных в обороте в соответствии с законодательством РФ, в пределах лесного фонда – 25722 га;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площади земельных участков, ограниченных в обороте в соответствии с законодательством РФ, водного фонда – 24635 га; площади земельных участков, ограниченных в обороте в соответствии с законодательством РФ, в пределах земли государственного природного заповедника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Богди</w:t>
      </w:r>
      <w:r w:rsidR="006C05E7" w:rsidRPr="009E2A33">
        <w:rPr>
          <w:rFonts w:ascii="Times New Roman" w:hAnsi="Times New Roman" w:cs="Times New Roman"/>
          <w:sz w:val="28"/>
          <w:szCs w:val="28"/>
        </w:rPr>
        <w:t>нско-Баскунчакский</w:t>
      </w:r>
      <w:proofErr w:type="spellEnd"/>
      <w:r w:rsidR="006C05E7" w:rsidRPr="009E2A33">
        <w:rPr>
          <w:rFonts w:ascii="Times New Roman" w:hAnsi="Times New Roman" w:cs="Times New Roman"/>
          <w:sz w:val="28"/>
          <w:szCs w:val="28"/>
        </w:rPr>
        <w:t>» - 18478 га;</w:t>
      </w:r>
      <w:r w:rsidR="00AA1554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площади земельных участков, ограниченных в обороте в соответствии с законодательством РФ, в пределах земли государственного природного заказника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Богдинско-Баскунчакский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» - 35222 га. </w:t>
      </w:r>
      <w:proofErr w:type="gramEnd"/>
    </w:p>
    <w:p w:rsidR="00150CFE" w:rsidRPr="009E2A33" w:rsidRDefault="00150CFE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2014 году площадь земель, являющихся объектами налогообложения земельным налогом</w:t>
      </w:r>
      <w:r w:rsidR="000318BF" w:rsidRPr="009E2A33">
        <w:rPr>
          <w:rFonts w:ascii="Times New Roman" w:hAnsi="Times New Roman" w:cs="Times New Roman"/>
          <w:sz w:val="28"/>
          <w:szCs w:val="28"/>
        </w:rPr>
        <w:t>,</w:t>
      </w:r>
      <w:r w:rsidRPr="009E2A33">
        <w:rPr>
          <w:rFonts w:ascii="Times New Roman" w:hAnsi="Times New Roman" w:cs="Times New Roman"/>
          <w:sz w:val="28"/>
          <w:szCs w:val="28"/>
        </w:rPr>
        <w:t xml:space="preserve"> составила 240534 га, из них земли, находящиеся в собственности – 190392 га (79,15%), в постоянном (бессрочном) пользовании – 50015 га (20,8%), в пожизненном наследуемом владении – 127 га (0,05%). Доля площади земель, являющихся объектами налогообложения, составила 57,65 % от общей площади района, подлежащей налогообложению.</w:t>
      </w:r>
    </w:p>
    <w:p w:rsidR="00150CFE" w:rsidRPr="009E2A33" w:rsidRDefault="00150CFE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2015 году площадь земель, являющихся объектами налогообложения земельным налогом</w:t>
      </w:r>
      <w:r w:rsidR="000318BF" w:rsidRPr="009E2A33">
        <w:rPr>
          <w:rFonts w:ascii="Times New Roman" w:hAnsi="Times New Roman" w:cs="Times New Roman"/>
          <w:sz w:val="28"/>
          <w:szCs w:val="28"/>
        </w:rPr>
        <w:t>,</w:t>
      </w:r>
      <w:r w:rsidRPr="009E2A33">
        <w:rPr>
          <w:rFonts w:ascii="Times New Roman" w:hAnsi="Times New Roman" w:cs="Times New Roman"/>
          <w:sz w:val="28"/>
          <w:szCs w:val="28"/>
        </w:rPr>
        <w:t xml:space="preserve"> составила 241949 га, из них земли, находящиеся в собственности – 191810 га (79,28%), в постоянном (бессрочном) пользовании – 50012 га (20,67%), в пожизненном наследуемом владении – 127 га (0,05%). Доля площади земель, являющихся объектами налогообложения, составила 57,99% от общей площади района, подлежащей налогообложению.</w:t>
      </w:r>
    </w:p>
    <w:p w:rsidR="00150CFE" w:rsidRPr="009E2A33" w:rsidRDefault="00150CFE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Увеличение площади земель, находящихся </w:t>
      </w:r>
      <w:r w:rsidR="007F1EA9" w:rsidRPr="009E2A33">
        <w:rPr>
          <w:rFonts w:ascii="Times New Roman" w:hAnsi="Times New Roman" w:cs="Times New Roman"/>
          <w:sz w:val="28"/>
          <w:szCs w:val="28"/>
        </w:rPr>
        <w:t>в</w:t>
      </w:r>
      <w:r w:rsidRPr="009E2A33">
        <w:rPr>
          <w:rFonts w:ascii="Times New Roman" w:hAnsi="Times New Roman" w:cs="Times New Roman"/>
          <w:sz w:val="28"/>
          <w:szCs w:val="28"/>
        </w:rPr>
        <w:t xml:space="preserve"> собственности, </w:t>
      </w:r>
      <w:r w:rsidR="007F1EA9" w:rsidRPr="009E2A33">
        <w:rPr>
          <w:rFonts w:ascii="Times New Roman" w:hAnsi="Times New Roman" w:cs="Times New Roman"/>
          <w:sz w:val="28"/>
          <w:szCs w:val="28"/>
        </w:rPr>
        <w:t>произошло,</w:t>
      </w:r>
      <w:r w:rsidRPr="009E2A33">
        <w:rPr>
          <w:rFonts w:ascii="Times New Roman" w:hAnsi="Times New Roman" w:cs="Times New Roman"/>
          <w:sz w:val="28"/>
          <w:szCs w:val="28"/>
        </w:rPr>
        <w:t xml:space="preserve"> в том числе за счет выкупа арендаторами земельных участков сельскохозяйственного назначения после 3-х лет надлежащего использования, предоставления в собственность бесплатно земельных участков льготным категориям граждан в соответствии с действующим законодательством. </w:t>
      </w:r>
    </w:p>
    <w:p w:rsidR="00150CFE" w:rsidRPr="009E2A33" w:rsidRDefault="007F1EA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</w:t>
      </w:r>
      <w:r w:rsidR="00150CFE" w:rsidRPr="009E2A33">
        <w:rPr>
          <w:rFonts w:ascii="Times New Roman" w:hAnsi="Times New Roman" w:cs="Times New Roman"/>
          <w:sz w:val="28"/>
          <w:szCs w:val="28"/>
        </w:rPr>
        <w:t xml:space="preserve"> 2016 – 2018 годах рассматриваемый показатель будет увеличиваться за счет выкупа арендаторами земельных участков сельскохозяйственного назначения после 3-х лет надлежащего использования и выкупом под объектами недвижимости, и составит по годам: 2016 год – 61,16 %, 2017 год – 61,52%, 2018 год – 61,88 %.</w:t>
      </w:r>
    </w:p>
    <w:p w:rsidR="00542147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5. </w:t>
      </w:r>
      <w:r w:rsidR="00542147" w:rsidRPr="009E2A33">
        <w:rPr>
          <w:rFonts w:ascii="Times New Roman" w:hAnsi="Times New Roman" w:cs="Times New Roman"/>
          <w:sz w:val="28"/>
          <w:szCs w:val="28"/>
        </w:rPr>
        <w:t>Сельскохозяйственное производство Ахтубинского района имеет многоотраслевую структуру: овощеводство, картофелеводство, бахчеводство, молочное и мясное скотоводство, овцеводство и птицеводство.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сосредоточено в КФХ – 36  % (1,7 млрд</w:t>
      </w:r>
      <w:r w:rsidR="000318BF" w:rsidRPr="009E2A33">
        <w:rPr>
          <w:rFonts w:ascii="Times New Roman" w:hAnsi="Times New Roman" w:cs="Times New Roman"/>
          <w:sz w:val="28"/>
          <w:szCs w:val="28"/>
        </w:rPr>
        <w:t>.</w:t>
      </w:r>
      <w:r w:rsidRPr="009E2A33">
        <w:rPr>
          <w:rFonts w:ascii="Times New Roman" w:hAnsi="Times New Roman" w:cs="Times New Roman"/>
          <w:sz w:val="28"/>
          <w:szCs w:val="28"/>
        </w:rPr>
        <w:t xml:space="preserve"> рублей) и в личных подсобных хозяйствах – 45 % (2,1 </w:t>
      </w:r>
      <w:r w:rsidRPr="009E2A33">
        <w:rPr>
          <w:rFonts w:ascii="Times New Roman" w:hAnsi="Times New Roman" w:cs="Times New Roman"/>
          <w:sz w:val="28"/>
          <w:szCs w:val="28"/>
        </w:rPr>
        <w:lastRenderedPageBreak/>
        <w:t>млрд</w:t>
      </w:r>
      <w:r w:rsidR="000318BF" w:rsidRPr="009E2A33">
        <w:rPr>
          <w:rFonts w:ascii="Times New Roman" w:hAnsi="Times New Roman" w:cs="Times New Roman"/>
          <w:sz w:val="28"/>
          <w:szCs w:val="28"/>
        </w:rPr>
        <w:t>.</w:t>
      </w:r>
      <w:r w:rsidRPr="009E2A33">
        <w:rPr>
          <w:rFonts w:ascii="Times New Roman" w:hAnsi="Times New Roman" w:cs="Times New Roman"/>
          <w:sz w:val="28"/>
          <w:szCs w:val="28"/>
        </w:rPr>
        <w:t xml:space="preserve"> рублей), в свою очередь на сельскохозяйственные организации приходится 19 % (0,9 млрд</w:t>
      </w:r>
      <w:r w:rsidR="000318BF" w:rsidRPr="009E2A33">
        <w:rPr>
          <w:rFonts w:ascii="Times New Roman" w:hAnsi="Times New Roman" w:cs="Times New Roman"/>
          <w:sz w:val="28"/>
          <w:szCs w:val="28"/>
        </w:rPr>
        <w:t>.</w:t>
      </w:r>
      <w:r w:rsidRPr="009E2A33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целом </w:t>
      </w:r>
      <w:r w:rsidRPr="009E2A33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объем производства валовой сельскохозяйственной продукции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9E2A33">
        <w:rPr>
          <w:rFonts w:ascii="Times New Roman" w:hAnsi="Times New Roman" w:cs="Times New Roman"/>
          <w:bCs/>
          <w:kern w:val="36"/>
          <w:sz w:val="28"/>
          <w:szCs w:val="28"/>
        </w:rPr>
        <w:t xml:space="preserve">составил </w:t>
      </w:r>
      <w:r w:rsidRPr="009E2A33">
        <w:rPr>
          <w:rFonts w:ascii="Times New Roman" w:hAnsi="Times New Roman" w:cs="Times New Roman"/>
          <w:sz w:val="28"/>
          <w:szCs w:val="28"/>
        </w:rPr>
        <w:t>4,7 млрд. руб., в том числе продукции растениеводства на сумму 3,4 млрд. руб. и продукции животноводства на 1,3 млрд. руб. Показатель по темпу роста объема производства составил 148,5 %.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развития отрасли является растениеводство. Рост объемов производства овощной продукции и картофеля обеспечен в основном за счет повышения урожайности, а также получения высококачественного урожая за счет внедрения в производство передовых технологий, применения технологий капельного и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спринклерного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орошения. </w:t>
      </w:r>
    </w:p>
    <w:p w:rsidR="00542147" w:rsidRPr="009E2A33" w:rsidRDefault="00542147" w:rsidP="00BA3187">
      <w:pPr>
        <w:pStyle w:val="a6"/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 xml:space="preserve">Посевная площадь в 2015 году составила 7,6 тыс. га, что ниже уровня 2014 (7,65 тыс. га) года на 0,05 тыс. га. Объем </w:t>
      </w:r>
      <w:r w:rsidRPr="009E2A33">
        <w:rPr>
          <w:color w:val="000000"/>
          <w:sz w:val="28"/>
          <w:szCs w:val="28"/>
        </w:rPr>
        <w:t xml:space="preserve">производства овощебахчевой продукции и картофеля составил 242,4 тыс. тонн </w:t>
      </w:r>
      <w:r w:rsidRPr="009E2A33">
        <w:rPr>
          <w:sz w:val="28"/>
          <w:szCs w:val="28"/>
        </w:rPr>
        <w:t xml:space="preserve">(рост 114 % к уровню 2014), в том числе: картофеля – 27,8 тыс. тонн (99 % к уровню 2014 года), доля в </w:t>
      </w:r>
      <w:proofErr w:type="spellStart"/>
      <w:r w:rsidRPr="009E2A33">
        <w:rPr>
          <w:sz w:val="28"/>
          <w:szCs w:val="28"/>
        </w:rPr>
        <w:t>общеобластном</w:t>
      </w:r>
      <w:proofErr w:type="spellEnd"/>
      <w:r w:rsidRPr="009E2A33">
        <w:rPr>
          <w:sz w:val="28"/>
          <w:szCs w:val="28"/>
        </w:rPr>
        <w:t xml:space="preserve"> объеме – 8,4 %; овощей – 172,5 тыс. тонн (рост 110,4 % к уровню 2014 года), доля в </w:t>
      </w:r>
      <w:proofErr w:type="spellStart"/>
      <w:r w:rsidRPr="009E2A33">
        <w:rPr>
          <w:sz w:val="28"/>
          <w:szCs w:val="28"/>
        </w:rPr>
        <w:t>общеобластном</w:t>
      </w:r>
      <w:proofErr w:type="spellEnd"/>
      <w:r w:rsidRPr="009E2A33">
        <w:rPr>
          <w:sz w:val="28"/>
          <w:szCs w:val="28"/>
        </w:rPr>
        <w:t xml:space="preserve"> объеме – 19,5 %; бахчевых – 42,1 тыс. тонн (рост 148,9 % к уровню 2014 года), доля в </w:t>
      </w:r>
      <w:proofErr w:type="spellStart"/>
      <w:r w:rsidRPr="009E2A33">
        <w:rPr>
          <w:sz w:val="28"/>
          <w:szCs w:val="28"/>
        </w:rPr>
        <w:t>общеобластном</w:t>
      </w:r>
      <w:proofErr w:type="spellEnd"/>
      <w:r w:rsidRPr="009E2A33">
        <w:rPr>
          <w:sz w:val="28"/>
          <w:szCs w:val="28"/>
        </w:rPr>
        <w:t xml:space="preserve"> объеме – 19,8 %.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2015 году в рамках ВЦП «Оказание государственной поддержки по развитию сельскохозяйственного производства в Астраханской области на 2015 - 2017 годы», осуществлялась техническая и технологическая модернизация производства. В районе имеется 27 овощехранилищ общей емкостью 54,5 тыс. тонн. Кроме того 2 снабженческо-сбытовых кооператива Ахтубинского района получили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поддержку сельскохозяйственных потребительских кооперативов на развитие материально-технической базы», которые  построили новые овощехранилища общей мощностью единовременного хранения 6,0 тыс. тонн (СССПК «Солнечный» и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ЮгОвощСбыт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»). Объем господдержки составил порядка 27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руб., в том числе из бюджета Астраханской области - 20,0 млн рублей. 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В рамках подпрограммы «Развитие мелиорации»: ГКФХ </w:t>
      </w:r>
      <w:proofErr w:type="spellStart"/>
      <w:r w:rsidRPr="009E2A33">
        <w:rPr>
          <w:rFonts w:ascii="Times New Roman" w:eastAsia="Calibri" w:hAnsi="Times New Roman" w:cs="Times New Roman"/>
          <w:sz w:val="28"/>
          <w:szCs w:val="28"/>
        </w:rPr>
        <w:t>Ишингалиев</w:t>
      </w:r>
      <w:proofErr w:type="spell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А.К. произвел техническое перевооружение мелиоративной системы с использованием нового водовода на участке площадью 227 га стоимостью 6,05 млн. рублей; ГКФХ </w:t>
      </w:r>
      <w:proofErr w:type="spellStart"/>
      <w:r w:rsidRPr="009E2A33">
        <w:rPr>
          <w:rFonts w:ascii="Times New Roman" w:eastAsia="Calibri" w:hAnsi="Times New Roman" w:cs="Times New Roman"/>
          <w:sz w:val="28"/>
          <w:szCs w:val="28"/>
        </w:rPr>
        <w:t>Асхабов</w:t>
      </w:r>
      <w:proofErr w:type="spell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О.З. произвел техническое перевооружение мелиоративной системы с использованием системы капельного орошения  на участке площадью  298 га стоимостью 35,4 млн. рублей; ГКФХ </w:t>
      </w:r>
      <w:proofErr w:type="spellStart"/>
      <w:r w:rsidRPr="009E2A33">
        <w:rPr>
          <w:rFonts w:ascii="Times New Roman" w:eastAsia="Calibri" w:hAnsi="Times New Roman" w:cs="Times New Roman"/>
          <w:sz w:val="28"/>
          <w:szCs w:val="28"/>
        </w:rPr>
        <w:t>Байбеков</w:t>
      </w:r>
      <w:proofErr w:type="spell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В.М. произвел техническое перевооружение мелиоративной системы с использованием системы капельного орошения  на участке площадью 391 га стоимостью 59,9 млн. рублей; ООО «</w:t>
      </w:r>
      <w:proofErr w:type="spellStart"/>
      <w:r w:rsidRPr="009E2A33">
        <w:rPr>
          <w:rFonts w:ascii="Times New Roman" w:eastAsia="Calibri" w:hAnsi="Times New Roman" w:cs="Times New Roman"/>
          <w:sz w:val="28"/>
          <w:szCs w:val="28"/>
        </w:rPr>
        <w:t>Викалина</w:t>
      </w:r>
      <w:proofErr w:type="spell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» техническое перевооружение мелиоративной системы орошаемого участка «Степной» Ахтубинского района Астраханской области (участок № 4), в части установки насосного оборудования и оборудования системы капельного орошения. Площадь участка с учетом ранее введенных в эксплуатацию площадей  составляет 180 га., общей стоимостью 13,5 млн. рублей; ГКФХ </w:t>
      </w:r>
      <w:proofErr w:type="spellStart"/>
      <w:r w:rsidRPr="009E2A33">
        <w:rPr>
          <w:rFonts w:ascii="Times New Roman" w:eastAsia="Calibri" w:hAnsi="Times New Roman" w:cs="Times New Roman"/>
          <w:sz w:val="28"/>
          <w:szCs w:val="28"/>
        </w:rPr>
        <w:lastRenderedPageBreak/>
        <w:t>Куликенов</w:t>
      </w:r>
      <w:proofErr w:type="spell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М. произвел техническое перевооружение мелиоративной системы орошаемого участка в части замены насосного оборудования </w:t>
      </w:r>
      <w:proofErr w:type="gramStart"/>
      <w:r w:rsidRPr="009E2A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eastAsia="Calibri" w:hAnsi="Times New Roman" w:cs="Times New Roman"/>
          <w:sz w:val="28"/>
          <w:szCs w:val="28"/>
        </w:rPr>
        <w:t>Ахтубинском</w:t>
      </w:r>
      <w:proofErr w:type="gram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районе Астраханской области площадью 171,046 га стоимостью 0,831 млн. рублей – 1 этап; ГКФХ Чадаев В.В.   техническое перевооружение мелиоративной системы с использованием системы капельного орошения на участке площадью 220 га, общей стоимостью 26,9 млн. рублей.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Кроме того, в рамках технического обновления парка сельскохозяйственной техники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района за 2015 год приобретено 41 ед. с/х техники на общую сумму 36,4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рублей, что составляет 14,4 % от общего количества (285 ед.), в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.: 26 единицы почвообрабатывающей, оросительной и прочей техники на общую сумму 20,1 млн.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, тракторов – 15 единиц на общую сумму 16,3 млн. рублей.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Численность поголовья крупного рогатого скота, зарегистрированного в районе, составляет 26,4 тыс. гол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ост 117,4 % к уровню 2014 года), в т. ч. коров 14,2 тыс. голов (рост 112,9 % к уровню 2014 года); овец и коз 71,1 тыс. гол. (92,8 % к уровню 2014 года).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Животноводами района в 2015 году произведено мяса – 4,7 тыс. тонн (рост 106,4 % к уровню 2014 года), молока 17,4 тыс. тонн (91,6 % к уровню 2014 года), шерсти 151 тонна (93,2 % к уровню 2014 года).  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районе функционирует 5 убойных площадок и 2 убойных пункта, в 2015 году произведено 347,2 тонн мяса в убойном весе.</w:t>
      </w:r>
    </w:p>
    <w:p w:rsidR="00542147" w:rsidRPr="009E2A33" w:rsidRDefault="0054214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Интенсивно в районе развивается отрасль птицеводство, так объем производства яиц в целом по району составил 89 млн. штук (рост к уровню 2014 года 116,2 %). Благодаря модернизации производств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«Птицефабрика «Владимировская» объем производства яиц достиг 87 млн. штук в год. В соответствии с программой деятельности предприятия в 2016 год</w:t>
      </w:r>
      <w:r w:rsidR="008245BF" w:rsidRPr="009E2A33">
        <w:rPr>
          <w:rFonts w:ascii="Times New Roman" w:hAnsi="Times New Roman" w:cs="Times New Roman"/>
          <w:sz w:val="28"/>
          <w:szCs w:val="28"/>
        </w:rPr>
        <w:t>у</w:t>
      </w:r>
      <w:r w:rsidRPr="009E2A33">
        <w:rPr>
          <w:rFonts w:ascii="Times New Roman" w:hAnsi="Times New Roman" w:cs="Times New Roman"/>
          <w:sz w:val="28"/>
          <w:szCs w:val="28"/>
        </w:rPr>
        <w:t xml:space="preserve"> продолжится модернизация и расширение производства, ожидаемый объем инвестиций составит около 181,849 млн. рублей. Так же в 2015 год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«Птицефабрика «Владимировская»» приобрела комплект птицеводческого оборудования для содержания сельскохозяйственной птицы и транспортные средства.</w:t>
      </w:r>
    </w:p>
    <w:p w:rsidR="00542147" w:rsidRPr="009E2A33" w:rsidRDefault="00542147" w:rsidP="00BA3187">
      <w:pPr>
        <w:pStyle w:val="a6"/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 xml:space="preserve">В расчете показателя </w:t>
      </w:r>
      <w:r w:rsidR="008245BF" w:rsidRPr="009E2A33">
        <w:rPr>
          <w:sz w:val="28"/>
          <w:szCs w:val="28"/>
        </w:rPr>
        <w:t xml:space="preserve">«Доля прибыльных сельскохозяйственных </w:t>
      </w:r>
      <w:proofErr w:type="gramStart"/>
      <w:r w:rsidR="008245BF" w:rsidRPr="009E2A33">
        <w:rPr>
          <w:sz w:val="28"/>
          <w:szCs w:val="28"/>
        </w:rPr>
        <w:t>организаций</w:t>
      </w:r>
      <w:proofErr w:type="gramEnd"/>
      <w:r w:rsidR="008245BF" w:rsidRPr="009E2A33">
        <w:rPr>
          <w:sz w:val="28"/>
          <w:szCs w:val="28"/>
        </w:rPr>
        <w:t xml:space="preserve"> в общем их числе» </w:t>
      </w:r>
      <w:r w:rsidRPr="009E2A33">
        <w:rPr>
          <w:sz w:val="28"/>
          <w:szCs w:val="28"/>
        </w:rPr>
        <w:t xml:space="preserve">согласно годовой бухгалтерской отчетности учтены 10 сельскохозяйственных организаций и производственных кооперативов, удельный вес которых в общем объеме валовой продукции района составляет 10 %. </w:t>
      </w:r>
    </w:p>
    <w:p w:rsidR="00542147" w:rsidRPr="009E2A33" w:rsidRDefault="00542147" w:rsidP="00BA3187">
      <w:pPr>
        <w:pStyle w:val="a6"/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Доля прибыльных сельскохозяйственных организаций увеличилась и  составила 60,00 % (2014 г. – 54,55 %). Улучшение финансовых показателей деятельности организаций обуславливает</w:t>
      </w:r>
      <w:r w:rsidR="008245BF" w:rsidRPr="009E2A33">
        <w:rPr>
          <w:sz w:val="28"/>
          <w:szCs w:val="28"/>
        </w:rPr>
        <w:t xml:space="preserve"> </w:t>
      </w:r>
      <w:r w:rsidRPr="009E2A33">
        <w:rPr>
          <w:sz w:val="28"/>
          <w:szCs w:val="28"/>
        </w:rPr>
        <w:t>рост инвестиций в основной капитал, что в значительной степени определяет дальнейшие перспективы роста эффективности и конкурентоспособности сельскохозяйственных предприятий. Сумма балансовой прибыли по рентабельным хозяйствам достигла 160,9 млн. рублей. Основную долю в общей сумме балансовой прибыли составила прибыль, полученная по итогам деятельност</w:t>
      </w:r>
      <w:proofErr w:type="gramStart"/>
      <w:r w:rsidRPr="009E2A33">
        <w:rPr>
          <w:sz w:val="28"/>
          <w:szCs w:val="28"/>
        </w:rPr>
        <w:t>и ООО</w:t>
      </w:r>
      <w:proofErr w:type="gramEnd"/>
      <w:r w:rsidRPr="009E2A33">
        <w:rPr>
          <w:sz w:val="28"/>
          <w:szCs w:val="28"/>
        </w:rPr>
        <w:t xml:space="preserve"> </w:t>
      </w:r>
      <w:r w:rsidRPr="009E2A33">
        <w:rPr>
          <w:sz w:val="28"/>
          <w:szCs w:val="28"/>
        </w:rPr>
        <w:lastRenderedPageBreak/>
        <w:t>«Птицефабрика «Владимировская»» - 35,4 млн. рублей и ООО «Агро-Прогресс Ахтуба» - 62,5 млн. рублей.</w:t>
      </w:r>
    </w:p>
    <w:p w:rsidR="00542147" w:rsidRPr="009E2A33" w:rsidRDefault="00542147" w:rsidP="00BA3187">
      <w:pPr>
        <w:pStyle w:val="a6"/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Для повышения рентабельности АПК принимаются все необходимые меры по повышению прибыльности не только сельскохозяйственных предприятий, но и КФХ. Так, в целях совершенствования сектора малого сельского предпринимательства, по программе «Начинающий фермер» в 2015 году из 30 участников Астраханской области 2 представителя Ахтубинского района получили гранты на создание и развитие крестьянского (фермерского) хозяйства. Так же грант на развитие семейных животноводческих ферм получили 2 сельскохозяйственных товаропроизводителя.</w:t>
      </w:r>
    </w:p>
    <w:p w:rsidR="00542147" w:rsidRPr="009E2A33" w:rsidRDefault="00542147" w:rsidP="00BA3187">
      <w:pPr>
        <w:pStyle w:val="a6"/>
        <w:ind w:left="0" w:firstLine="709"/>
        <w:jc w:val="both"/>
        <w:rPr>
          <w:sz w:val="28"/>
          <w:szCs w:val="28"/>
        </w:rPr>
      </w:pPr>
      <w:proofErr w:type="spellStart"/>
      <w:r w:rsidRPr="009E2A33">
        <w:rPr>
          <w:sz w:val="28"/>
          <w:szCs w:val="28"/>
        </w:rPr>
        <w:t>Грантовую</w:t>
      </w:r>
      <w:proofErr w:type="spellEnd"/>
      <w:r w:rsidRPr="009E2A33">
        <w:rPr>
          <w:sz w:val="28"/>
          <w:szCs w:val="28"/>
        </w:rPr>
        <w:t xml:space="preserve"> поддержку сельскохозяйственных потребительских кооперативов на развитие материально-технической базы» получили 2 снабженческо-сбытовых кооператива Ахтубинского района, которые  построили новые овощехранилища (3) общей мощностью единовременного хранения 6,0 тыс. тонн (СССПК «Солнечный» и «</w:t>
      </w:r>
      <w:proofErr w:type="spellStart"/>
      <w:r w:rsidRPr="009E2A33">
        <w:rPr>
          <w:sz w:val="28"/>
          <w:szCs w:val="28"/>
        </w:rPr>
        <w:t>ЮгОвощСбыт</w:t>
      </w:r>
      <w:proofErr w:type="spellEnd"/>
      <w:r w:rsidRPr="009E2A33">
        <w:rPr>
          <w:sz w:val="28"/>
          <w:szCs w:val="28"/>
        </w:rPr>
        <w:t xml:space="preserve">»). Объем господдержки составил порядка 27 </w:t>
      </w:r>
      <w:proofErr w:type="gramStart"/>
      <w:r w:rsidRPr="009E2A33">
        <w:rPr>
          <w:sz w:val="28"/>
          <w:szCs w:val="28"/>
        </w:rPr>
        <w:t>млн</w:t>
      </w:r>
      <w:proofErr w:type="gramEnd"/>
      <w:r w:rsidRPr="009E2A33">
        <w:rPr>
          <w:sz w:val="28"/>
          <w:szCs w:val="28"/>
        </w:rPr>
        <w:t xml:space="preserve"> руб., в том числе из бюджета Астраханской области - 20,0 млн рублей.</w:t>
      </w:r>
    </w:p>
    <w:p w:rsidR="00542147" w:rsidRPr="009E2A33" w:rsidRDefault="00542147" w:rsidP="00BA31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целях увеличения объемов производства основных видов сельскохозяйственной продукции</w:t>
      </w:r>
      <w:r w:rsidR="000318BF" w:rsidRPr="009E2A33">
        <w:rPr>
          <w:rFonts w:ascii="Times New Roman" w:hAnsi="Times New Roman" w:cs="Times New Roman"/>
          <w:sz w:val="28"/>
          <w:szCs w:val="28"/>
        </w:rPr>
        <w:t>,</w:t>
      </w:r>
      <w:r w:rsidRPr="009E2A33">
        <w:rPr>
          <w:rFonts w:ascii="Times New Roman" w:hAnsi="Times New Roman" w:cs="Times New Roman"/>
          <w:sz w:val="28"/>
          <w:szCs w:val="28"/>
        </w:rPr>
        <w:t xml:space="preserve"> и повышения рентабельности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района направляется ежегодная государственная поддержка из бюджетов всех уровней. </w:t>
      </w:r>
      <w:r w:rsidRPr="009E2A33">
        <w:rPr>
          <w:rFonts w:ascii="Times New Roman" w:hAnsi="Times New Roman" w:cs="Times New Roman"/>
          <w:color w:val="000000"/>
          <w:sz w:val="28"/>
          <w:szCs w:val="28"/>
        </w:rPr>
        <w:t>Так, о</w:t>
      </w:r>
      <w:r w:rsidRPr="009E2A33">
        <w:rPr>
          <w:rFonts w:ascii="Times New Roman" w:hAnsi="Times New Roman" w:cs="Times New Roman"/>
          <w:sz w:val="28"/>
          <w:szCs w:val="28"/>
        </w:rPr>
        <w:t xml:space="preserve">бъем государственной поддержки в 2015 году составил 90,6  млн. рублей (федеральный бюджет – 52,2 млн. рублей, бюджет АО – 38,4 млн. рублей), что к уровню 2014 года – 123,4 %. </w:t>
      </w:r>
    </w:p>
    <w:p w:rsidR="00542147" w:rsidRPr="009E2A33" w:rsidRDefault="00542147" w:rsidP="00BA3187">
      <w:pPr>
        <w:pStyle w:val="a6"/>
        <w:ind w:left="0" w:firstLine="709"/>
        <w:jc w:val="both"/>
        <w:rPr>
          <w:sz w:val="28"/>
          <w:szCs w:val="28"/>
        </w:rPr>
      </w:pPr>
      <w:proofErr w:type="gramStart"/>
      <w:r w:rsidRPr="009E2A33">
        <w:rPr>
          <w:sz w:val="28"/>
          <w:szCs w:val="28"/>
        </w:rPr>
        <w:t>В ходе выполнения соглашения между министерством сельского хозяйства и рыбной промышленности Астраханской области и МО «Ахтубинский район» планируется достичь всех основных показателей развития отрасли, а также в рамках действующих целевых программ максимально привлечь средства на оказание государственной поддержки на реализацию мероприятий, которые направлены на расширение производства, формирование комплексной системы заготовки, хранения, предпродажной подготовки, а также модернизацию перерабатывающей промышленности и реализации</w:t>
      </w:r>
      <w:proofErr w:type="gramEnd"/>
      <w:r w:rsidRPr="009E2A33">
        <w:rPr>
          <w:sz w:val="28"/>
          <w:szCs w:val="28"/>
        </w:rPr>
        <w:t xml:space="preserve"> инвестиционных проектов.</w:t>
      </w:r>
    </w:p>
    <w:p w:rsidR="007151C0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6. </w:t>
      </w:r>
      <w:r w:rsidR="007151C0" w:rsidRPr="009E2A33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в МО «Ахтубинский район» </w:t>
      </w:r>
      <w:proofErr w:type="gramStart"/>
      <w:r w:rsidR="007151C0" w:rsidRPr="009E2A3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7151C0" w:rsidRPr="009E2A33">
        <w:rPr>
          <w:rFonts w:ascii="Times New Roman" w:hAnsi="Times New Roman" w:cs="Times New Roman"/>
          <w:sz w:val="28"/>
          <w:szCs w:val="28"/>
        </w:rPr>
        <w:t xml:space="preserve"> 2015 года составила 469,9 км, в 2014 году составляла 471,2 км, данное изменение произошло в связи с проведенной инвентаризацией муниципальными образованиями Ахтубинского района. </w:t>
      </w:r>
    </w:p>
    <w:p w:rsidR="007151C0" w:rsidRPr="009E2A33" w:rsidRDefault="007151C0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Общая протяженность дорог с твердым покрытием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2015 года составила 129,7 км, в том числе с усовершенствованным покрытием – 93,2</w:t>
      </w:r>
      <w:r w:rsidR="00481940" w:rsidRPr="009E2A33">
        <w:rPr>
          <w:rFonts w:ascii="Times New Roman" w:hAnsi="Times New Roman" w:cs="Times New Roman"/>
          <w:sz w:val="28"/>
          <w:szCs w:val="28"/>
        </w:rPr>
        <w:t xml:space="preserve"> км</w:t>
      </w:r>
      <w:r w:rsidRPr="009E2A33">
        <w:rPr>
          <w:rFonts w:ascii="Times New Roman" w:hAnsi="Times New Roman" w:cs="Times New Roman"/>
          <w:sz w:val="28"/>
          <w:szCs w:val="28"/>
        </w:rPr>
        <w:t xml:space="preserve">, в 2014 году общая протяженность дорог с твердым покрытием составляла 129 км, в том числе с усовершенствованным покрытием – 91,9 км. </w:t>
      </w:r>
    </w:p>
    <w:p w:rsidR="006C2459" w:rsidRPr="009E2A33" w:rsidRDefault="007151C0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bCs/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</w:t>
      </w:r>
      <w:r w:rsidRPr="009E2A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протяженности автомобильных дорог общего пользования местного значения в 2014 году - 81,45 %, в 2015 году показатель составил </w:t>
      </w:r>
      <w:r w:rsidR="006C2459" w:rsidRPr="009E2A33">
        <w:rPr>
          <w:rFonts w:ascii="Times New Roman" w:hAnsi="Times New Roman" w:cs="Times New Roman"/>
          <w:bCs/>
          <w:sz w:val="28"/>
          <w:szCs w:val="28"/>
        </w:rPr>
        <w:t xml:space="preserve">77,38 </w:t>
      </w:r>
      <w:r w:rsidRPr="009E2A33">
        <w:rPr>
          <w:rFonts w:ascii="Times New Roman" w:hAnsi="Times New Roman" w:cs="Times New Roman"/>
          <w:bCs/>
          <w:sz w:val="28"/>
          <w:szCs w:val="28"/>
        </w:rPr>
        <w:t>%. У</w:t>
      </w:r>
      <w:r w:rsidR="006C2459" w:rsidRPr="009E2A33">
        <w:rPr>
          <w:rFonts w:ascii="Times New Roman" w:hAnsi="Times New Roman" w:cs="Times New Roman"/>
          <w:bCs/>
          <w:sz w:val="28"/>
          <w:szCs w:val="28"/>
        </w:rPr>
        <w:t>меньшение</w:t>
      </w:r>
      <w:r w:rsidR="00481940" w:rsidRPr="009E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bCs/>
          <w:sz w:val="28"/>
          <w:szCs w:val="28"/>
        </w:rPr>
        <w:t xml:space="preserve">показателя в 2015 году </w:t>
      </w:r>
      <w:r w:rsidR="00D178CF" w:rsidRPr="009E2A33">
        <w:rPr>
          <w:rFonts w:ascii="Times New Roman" w:hAnsi="Times New Roman" w:cs="Times New Roman"/>
          <w:bCs/>
          <w:sz w:val="28"/>
          <w:szCs w:val="28"/>
        </w:rPr>
        <w:t>на 4,07 процентных пунктов за счет того, что в</w:t>
      </w:r>
      <w:r w:rsidR="006C2459" w:rsidRPr="009E2A33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D178CF" w:rsidRPr="009E2A33">
        <w:rPr>
          <w:rFonts w:ascii="Times New Roman" w:hAnsi="Times New Roman" w:cs="Times New Roman"/>
          <w:sz w:val="28"/>
          <w:szCs w:val="28"/>
        </w:rPr>
        <w:t>у</w:t>
      </w:r>
      <w:r w:rsidR="006C2459" w:rsidRPr="009E2A33">
        <w:rPr>
          <w:rFonts w:ascii="Times New Roman" w:hAnsi="Times New Roman" w:cs="Times New Roman"/>
          <w:sz w:val="28"/>
          <w:szCs w:val="28"/>
        </w:rPr>
        <w:t xml:space="preserve"> отремонтировано 1,937 км автомобильных дорог и 4,907 тыс. м</w:t>
      </w:r>
      <w:proofErr w:type="gramStart"/>
      <w:r w:rsidR="006C2459" w:rsidRPr="009E2A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6C2459" w:rsidRPr="009E2A33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и проездов к ним.</w:t>
      </w:r>
    </w:p>
    <w:p w:rsidR="00712E23" w:rsidRPr="009E2A33" w:rsidRDefault="000318BF" w:rsidP="00BA3187">
      <w:pPr>
        <w:pStyle w:val="a6"/>
        <w:ind w:left="0" w:firstLine="709"/>
        <w:jc w:val="both"/>
        <w:rPr>
          <w:sz w:val="28"/>
          <w:szCs w:val="28"/>
        </w:rPr>
      </w:pPr>
      <w:r w:rsidRPr="009E2A33">
        <w:rPr>
          <w:sz w:val="28"/>
          <w:szCs w:val="28"/>
        </w:rPr>
        <w:t>В 2016 – 2018 годах продолжится тенденция по снижению доли автомобильных дорог</w:t>
      </w:r>
      <w:r w:rsidR="00A85223" w:rsidRPr="009E2A33">
        <w:rPr>
          <w:sz w:val="28"/>
          <w:szCs w:val="28"/>
        </w:rPr>
        <w:t>,</w:t>
      </w:r>
      <w:r w:rsidRPr="009E2A33">
        <w:rPr>
          <w:sz w:val="28"/>
          <w:szCs w:val="28"/>
        </w:rPr>
        <w:t xml:space="preserve"> не отвечающих нормативным требовани</w:t>
      </w:r>
      <w:r w:rsidR="00A85223" w:rsidRPr="009E2A33">
        <w:rPr>
          <w:sz w:val="28"/>
          <w:szCs w:val="28"/>
        </w:rPr>
        <w:t>я</w:t>
      </w:r>
      <w:r w:rsidRPr="009E2A33">
        <w:rPr>
          <w:sz w:val="28"/>
          <w:szCs w:val="28"/>
        </w:rPr>
        <w:t>м</w:t>
      </w:r>
      <w:r w:rsidR="00A85223" w:rsidRPr="009E2A33">
        <w:rPr>
          <w:sz w:val="28"/>
          <w:szCs w:val="28"/>
        </w:rPr>
        <w:t xml:space="preserve"> за счет дальнейшего ремонта дорог.</w:t>
      </w:r>
    </w:p>
    <w:p w:rsidR="00541FF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bCs/>
          <w:sz w:val="28"/>
          <w:szCs w:val="28"/>
        </w:rPr>
        <w:t>7.</w:t>
      </w:r>
      <w:r w:rsidR="00D73006" w:rsidRPr="009E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1FF3" w:rsidRPr="009E2A33">
        <w:rPr>
          <w:rFonts w:ascii="Times New Roman" w:hAnsi="Times New Roman" w:cs="Times New Roman"/>
          <w:sz w:val="28"/>
          <w:szCs w:val="28"/>
        </w:rPr>
        <w:t>Основным показателем, характеризующим эффективность деятельности органа местного самоуправления по отрасли «транспорт», является доля населения, проживающего в населенных пунктах, не имеющих регулярного автобусного и (или) железнодорожного сообщения с центром муниципального района, в общей численности населения муниципального района.</w:t>
      </w:r>
    </w:p>
    <w:p w:rsidR="00541FF3" w:rsidRPr="009E2A33" w:rsidRDefault="00541FF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2015 году доля населения, проживающего в населенных пунктах, не  имеющих регулярного  автобусного и (или) железнодорожного сообщения с административным центром муниципального района, в общей численности населения Ахтубинского района составила 1%</w:t>
      </w:r>
      <w:r w:rsidR="00D73006" w:rsidRPr="009E2A33">
        <w:rPr>
          <w:rFonts w:ascii="Times New Roman" w:hAnsi="Times New Roman" w:cs="Times New Roman"/>
          <w:sz w:val="28"/>
          <w:szCs w:val="28"/>
        </w:rPr>
        <w:t>.</w:t>
      </w:r>
    </w:p>
    <w:p w:rsidR="00541FF3" w:rsidRPr="009E2A33" w:rsidRDefault="00D7300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Р</w:t>
      </w:r>
      <w:r w:rsidR="00541FF3" w:rsidRPr="009E2A33">
        <w:rPr>
          <w:rFonts w:ascii="Times New Roman" w:hAnsi="Times New Roman" w:cs="Times New Roman"/>
          <w:sz w:val="28"/>
          <w:szCs w:val="28"/>
        </w:rPr>
        <w:t>егулярно</w:t>
      </w:r>
      <w:r w:rsidRPr="009E2A33">
        <w:rPr>
          <w:rFonts w:ascii="Times New Roman" w:hAnsi="Times New Roman" w:cs="Times New Roman"/>
          <w:sz w:val="28"/>
          <w:szCs w:val="28"/>
        </w:rPr>
        <w:t>е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 автобусно</w:t>
      </w:r>
      <w:r w:rsidR="00F07AFC" w:rsidRPr="009E2A33">
        <w:rPr>
          <w:rFonts w:ascii="Times New Roman" w:hAnsi="Times New Roman" w:cs="Times New Roman"/>
          <w:sz w:val="28"/>
          <w:szCs w:val="28"/>
        </w:rPr>
        <w:t>е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Pr="009E2A33">
        <w:rPr>
          <w:rFonts w:ascii="Times New Roman" w:hAnsi="Times New Roman" w:cs="Times New Roman"/>
          <w:sz w:val="28"/>
          <w:szCs w:val="28"/>
        </w:rPr>
        <w:t>е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F07AFC" w:rsidRPr="009E2A33">
        <w:rPr>
          <w:rFonts w:ascii="Times New Roman" w:hAnsi="Times New Roman" w:cs="Times New Roman"/>
          <w:sz w:val="28"/>
          <w:szCs w:val="28"/>
        </w:rPr>
        <w:t xml:space="preserve">соединяет практически все населенные пункты муниципального образования </w:t>
      </w:r>
      <w:r w:rsidR="00541FF3" w:rsidRPr="009E2A33">
        <w:rPr>
          <w:rFonts w:ascii="Times New Roman" w:hAnsi="Times New Roman" w:cs="Times New Roman"/>
          <w:sz w:val="28"/>
          <w:szCs w:val="28"/>
        </w:rPr>
        <w:t>с административным центром Ахтубинского района</w:t>
      </w:r>
      <w:r w:rsidR="00F07AFC" w:rsidRPr="009E2A33">
        <w:rPr>
          <w:rFonts w:ascii="Times New Roman" w:hAnsi="Times New Roman" w:cs="Times New Roman"/>
          <w:sz w:val="28"/>
          <w:szCs w:val="28"/>
        </w:rPr>
        <w:t xml:space="preserve"> городом Ахтубинском.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AFC" w:rsidRPr="009E2A33">
        <w:rPr>
          <w:rFonts w:ascii="Times New Roman" w:hAnsi="Times New Roman" w:cs="Times New Roman"/>
          <w:sz w:val="28"/>
          <w:szCs w:val="28"/>
        </w:rPr>
        <w:t xml:space="preserve">Из-за низкого качества дорог не имеют сообщения жители </w:t>
      </w:r>
      <w:r w:rsidR="00541FF3" w:rsidRPr="009E2A33">
        <w:rPr>
          <w:rFonts w:ascii="Times New Roman" w:hAnsi="Times New Roman" w:cs="Times New Roman"/>
          <w:sz w:val="28"/>
          <w:szCs w:val="28"/>
        </w:rPr>
        <w:t>следующи</w:t>
      </w:r>
      <w:r w:rsidR="00F07AFC" w:rsidRPr="009E2A33">
        <w:rPr>
          <w:rFonts w:ascii="Times New Roman" w:hAnsi="Times New Roman" w:cs="Times New Roman"/>
          <w:sz w:val="28"/>
          <w:szCs w:val="28"/>
        </w:rPr>
        <w:t>х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F07AFC" w:rsidRPr="009E2A33">
        <w:rPr>
          <w:rFonts w:ascii="Times New Roman" w:hAnsi="Times New Roman" w:cs="Times New Roman"/>
          <w:sz w:val="28"/>
          <w:szCs w:val="28"/>
        </w:rPr>
        <w:t>х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7AFC" w:rsidRPr="009E2A33">
        <w:rPr>
          <w:rFonts w:ascii="Times New Roman" w:hAnsi="Times New Roman" w:cs="Times New Roman"/>
          <w:sz w:val="28"/>
          <w:szCs w:val="28"/>
        </w:rPr>
        <w:t>ов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: </w:t>
      </w:r>
      <w:r w:rsidR="00F07AFC" w:rsidRPr="009E2A33">
        <w:rPr>
          <w:rFonts w:ascii="Times New Roman" w:hAnsi="Times New Roman" w:cs="Times New Roman"/>
          <w:sz w:val="28"/>
          <w:szCs w:val="28"/>
        </w:rPr>
        <w:t>р</w:t>
      </w:r>
      <w:r w:rsidR="00541FF3" w:rsidRPr="009E2A33">
        <w:rPr>
          <w:rFonts w:ascii="Times New Roman" w:hAnsi="Times New Roman" w:cs="Times New Roman"/>
          <w:sz w:val="28"/>
          <w:szCs w:val="28"/>
        </w:rPr>
        <w:t xml:space="preserve">азъезд Мартовский, п. 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Шунгули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>,</w:t>
      </w:r>
      <w:r w:rsidR="00F07AFC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541FF3" w:rsidRPr="009E2A33">
        <w:rPr>
          <w:rFonts w:ascii="Times New Roman" w:hAnsi="Times New Roman" w:cs="Times New Roman"/>
          <w:sz w:val="28"/>
          <w:szCs w:val="28"/>
        </w:rPr>
        <w:t>п.ж.-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д.ст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 xml:space="preserve">. Солончак, х. 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Лопин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Камнев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 xml:space="preserve">, х. Никонов, х. 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Корочин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Сокорь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 xml:space="preserve">, х. 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Дуюнов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 xml:space="preserve">, х. Дубовый, х. Рогозин, х. Клочков, х. Громов, с. Садовое, п. </w:t>
      </w:r>
      <w:proofErr w:type="spellStart"/>
      <w:r w:rsidR="00541FF3" w:rsidRPr="009E2A33">
        <w:rPr>
          <w:rFonts w:ascii="Times New Roman" w:hAnsi="Times New Roman" w:cs="Times New Roman"/>
          <w:sz w:val="28"/>
          <w:szCs w:val="28"/>
        </w:rPr>
        <w:t>Богдо</w:t>
      </w:r>
      <w:proofErr w:type="spellEnd"/>
      <w:r w:rsidR="00541FF3" w:rsidRPr="009E2A33">
        <w:rPr>
          <w:rFonts w:ascii="Times New Roman" w:hAnsi="Times New Roman" w:cs="Times New Roman"/>
          <w:sz w:val="28"/>
          <w:szCs w:val="28"/>
        </w:rPr>
        <w:t>, х. Кононенко</w:t>
      </w:r>
      <w:r w:rsidR="00F07AFC" w:rsidRPr="009E2A33">
        <w:rPr>
          <w:rFonts w:ascii="Times New Roman" w:hAnsi="Times New Roman" w:cs="Times New Roman"/>
          <w:sz w:val="28"/>
          <w:szCs w:val="28"/>
        </w:rPr>
        <w:t xml:space="preserve"> – всего 657 человек</w:t>
      </w:r>
      <w:r w:rsidR="00610B0D" w:rsidRPr="009E2A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D5F" w:rsidRPr="009E2A33" w:rsidRDefault="003C5D5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Наиболее остро стоит вопрос регулярного автобусного сообщения в МО «Село Садовое», которое отдалено от основной территории района рекой Ахтуба. Однако решить вопрос силами района не представляется возможным, т.к. строительство моста через реку Ахтуба и подъездной дороги к селу достаточно дорого.</w:t>
      </w:r>
    </w:p>
    <w:p w:rsidR="00541FF3" w:rsidRPr="009E2A33" w:rsidRDefault="00541FF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Решая вопрос транспортного обслуживания населения, проживающего в сельской местности, администрация  МО «Ахтубинский район» привлекает к пассажирским перевозкам по маршрутам в границах МО «Ахтубинский район» индивидуальных предпринимателей, имеющих лицензию на осуществление данного вида деятельности.</w:t>
      </w:r>
    </w:p>
    <w:p w:rsidR="00541FF3" w:rsidRPr="009E2A33" w:rsidRDefault="00541FF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перспективе планируется введение дополнительных автотранспортных средств на вышеуказанных маршрутах регулярного сообщения.</w:t>
      </w:r>
      <w:r w:rsidRPr="009E2A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5636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8.</w:t>
      </w:r>
      <w:r w:rsidR="007F1EA9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255636" w:rsidRPr="009E2A33">
        <w:rPr>
          <w:rFonts w:ascii="Times New Roman" w:hAnsi="Times New Roman" w:cs="Times New Roman"/>
          <w:sz w:val="28"/>
          <w:szCs w:val="28"/>
        </w:rPr>
        <w:t xml:space="preserve">Среднемесячная номинальная заработная плата работников крупных и средних предприятий и некоммерческих организаций Ахтубинского района по данным Территориального органа Федеральной службы статистики по Астраханской области за 2015 год сложилась в размере 20943,1 рублей, что на 0,1 % выше уровня 2014 года (в 2014 году рост заработной платы составил 109,57 %). Замедление темпов роста обусловлено экономическим положением в целом в стране и в частности в районе. В 2015 году произошло </w:t>
      </w:r>
      <w:r w:rsidR="00255636" w:rsidRPr="009E2A33">
        <w:rPr>
          <w:rFonts w:ascii="Times New Roman" w:hAnsi="Times New Roman" w:cs="Times New Roman"/>
          <w:sz w:val="28"/>
          <w:szCs w:val="28"/>
        </w:rPr>
        <w:lastRenderedPageBreak/>
        <w:t xml:space="preserve">сокращение численности работающих в таких высокооплачиваемых отраслях как добыча полезных ископаемых 89,4 % к 2014 году, строительство – 79,7 %, государственное управление и обеспечение военной безопасности – 89,0 %.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плановом периоде 2016</w:t>
      </w:r>
      <w:r w:rsidR="007F1EA9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-</w:t>
      </w:r>
      <w:r w:rsidR="007F1EA9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2018 г</w:t>
      </w:r>
      <w:r w:rsidR="007F1EA9" w:rsidRPr="009E2A33">
        <w:rPr>
          <w:rFonts w:ascii="Times New Roman" w:hAnsi="Times New Roman" w:cs="Times New Roman"/>
          <w:sz w:val="28"/>
          <w:szCs w:val="28"/>
        </w:rPr>
        <w:t>оды</w:t>
      </w:r>
      <w:r w:rsidRPr="009E2A33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по крупным и средним предприятиям сложится в размере: в 2016 году – 21037,9 рублей или 100,5 % к 2015 году, в 2017 году – 21262,98 рублей или 101,1 % к 2016 году, в 2018 году – 21845,3</w:t>
      </w:r>
      <w:r w:rsidR="00A85223" w:rsidRPr="009E2A33">
        <w:rPr>
          <w:rFonts w:ascii="Times New Roman" w:hAnsi="Times New Roman" w:cs="Times New Roman"/>
          <w:sz w:val="28"/>
          <w:szCs w:val="28"/>
        </w:rPr>
        <w:t>3</w:t>
      </w:r>
      <w:r w:rsidRPr="009E2A33">
        <w:rPr>
          <w:rFonts w:ascii="Times New Roman" w:hAnsi="Times New Roman" w:cs="Times New Roman"/>
          <w:sz w:val="28"/>
          <w:szCs w:val="28"/>
        </w:rPr>
        <w:t xml:space="preserve"> рублей или 102,7 % к 2017 году.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Росту заработной платы в плановом периоде будет способствовать реализация ряда инвестиционных проектов и повышение минимального размера заработной платы.</w:t>
      </w:r>
    </w:p>
    <w:p w:rsidR="0045343A" w:rsidRPr="009E2A33" w:rsidRDefault="004534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период 2014-2016 годов запланирован поэтапный рост средней заработной платы работников социальной сферы в рамках реализации Указа Президента Российской Федерации от 07.05.2012 №597 "О мероприятиях по реализации государственной социальной политики".</w:t>
      </w:r>
    </w:p>
    <w:p w:rsidR="0045343A" w:rsidRPr="009E2A33" w:rsidRDefault="004534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за 2015 год среднемесячная номинальная заработная плата:</w:t>
      </w:r>
    </w:p>
    <w:p w:rsidR="0045343A" w:rsidRPr="009E2A33" w:rsidRDefault="004534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работников муниципальных общеобразовательных учреждений осталась на уровне </w:t>
      </w:r>
      <w:r w:rsidR="007F1EA9" w:rsidRPr="009E2A33">
        <w:rPr>
          <w:rFonts w:ascii="Times New Roman" w:hAnsi="Times New Roman" w:cs="Times New Roman"/>
          <w:sz w:val="28"/>
          <w:szCs w:val="28"/>
        </w:rPr>
        <w:t xml:space="preserve">2014 года </w:t>
      </w:r>
      <w:r w:rsidRPr="009E2A33">
        <w:rPr>
          <w:rFonts w:ascii="Times New Roman" w:hAnsi="Times New Roman" w:cs="Times New Roman"/>
          <w:sz w:val="28"/>
          <w:szCs w:val="28"/>
        </w:rPr>
        <w:t>и составила 19081рубл</w:t>
      </w:r>
      <w:r w:rsidR="00EA7103" w:rsidRPr="009E2A33">
        <w:rPr>
          <w:rFonts w:ascii="Times New Roman" w:hAnsi="Times New Roman" w:cs="Times New Roman"/>
          <w:sz w:val="28"/>
          <w:szCs w:val="28"/>
        </w:rPr>
        <w:t>ь</w:t>
      </w:r>
      <w:r w:rsidRPr="009E2A33">
        <w:rPr>
          <w:rFonts w:ascii="Times New Roman" w:hAnsi="Times New Roman" w:cs="Times New Roman"/>
          <w:sz w:val="28"/>
          <w:szCs w:val="28"/>
        </w:rPr>
        <w:t>;</w:t>
      </w:r>
    </w:p>
    <w:p w:rsidR="0045343A" w:rsidRPr="009E2A33" w:rsidRDefault="004534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учителей муниципальных общеобразовательных учреждений увеличилось </w:t>
      </w:r>
      <w:r w:rsidR="007F1EA9" w:rsidRPr="009E2A33">
        <w:rPr>
          <w:rFonts w:ascii="Times New Roman" w:hAnsi="Times New Roman" w:cs="Times New Roman"/>
          <w:sz w:val="28"/>
          <w:szCs w:val="28"/>
        </w:rPr>
        <w:t xml:space="preserve">по сравнению с 2014 годом </w:t>
      </w:r>
      <w:r w:rsidRPr="009E2A3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3,8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% и составила 25590</w:t>
      </w:r>
      <w:r w:rsidR="00EA7103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рубл</w:t>
      </w:r>
      <w:r w:rsidR="00EA7103" w:rsidRPr="009E2A33">
        <w:rPr>
          <w:rFonts w:ascii="Times New Roman" w:hAnsi="Times New Roman" w:cs="Times New Roman"/>
          <w:sz w:val="28"/>
          <w:szCs w:val="28"/>
        </w:rPr>
        <w:t>ей</w:t>
      </w:r>
      <w:r w:rsidRPr="009E2A33">
        <w:rPr>
          <w:rFonts w:ascii="Times New Roman" w:hAnsi="Times New Roman" w:cs="Times New Roman"/>
          <w:sz w:val="28"/>
          <w:szCs w:val="28"/>
        </w:rPr>
        <w:t>;</w:t>
      </w:r>
    </w:p>
    <w:p w:rsidR="0045343A" w:rsidRPr="009E2A33" w:rsidRDefault="004534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работников муниципальных дошкольных образовательных учреждений увеличилось на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1,8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% и составила 12562 рубл</w:t>
      </w:r>
      <w:r w:rsidR="00EA7103" w:rsidRPr="009E2A33">
        <w:rPr>
          <w:rFonts w:ascii="Times New Roman" w:hAnsi="Times New Roman" w:cs="Times New Roman"/>
          <w:sz w:val="28"/>
          <w:szCs w:val="28"/>
        </w:rPr>
        <w:t>я</w:t>
      </w:r>
      <w:r w:rsidRPr="009E2A33">
        <w:rPr>
          <w:rFonts w:ascii="Times New Roman" w:hAnsi="Times New Roman" w:cs="Times New Roman"/>
          <w:sz w:val="28"/>
          <w:szCs w:val="28"/>
        </w:rPr>
        <w:t>.</w:t>
      </w:r>
    </w:p>
    <w:p w:rsidR="00EA7103" w:rsidRPr="009E2A33" w:rsidRDefault="00EA710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С 2013 года наблюдается рост средней заработной платы работников учреждений культуры с 9632,3 руб</w:t>
      </w:r>
      <w:r w:rsidR="0093455C" w:rsidRPr="009E2A33">
        <w:rPr>
          <w:rFonts w:ascii="Times New Roman" w:hAnsi="Times New Roman" w:cs="Times New Roman"/>
          <w:sz w:val="28"/>
          <w:szCs w:val="28"/>
        </w:rPr>
        <w:t>лей</w:t>
      </w:r>
      <w:r w:rsidRPr="009E2A33">
        <w:rPr>
          <w:rFonts w:ascii="Times New Roman" w:hAnsi="Times New Roman" w:cs="Times New Roman"/>
          <w:sz w:val="28"/>
          <w:szCs w:val="28"/>
        </w:rPr>
        <w:t xml:space="preserve"> до 18328 рублей в 2015 году.  </w:t>
      </w:r>
    </w:p>
    <w:p w:rsidR="00712E23" w:rsidRPr="009E2A33" w:rsidRDefault="00EA710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плановый период 2016-2018</w:t>
      </w:r>
      <w:r w:rsidR="0093455C" w:rsidRPr="009E2A33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2A33">
        <w:rPr>
          <w:rFonts w:ascii="Times New Roman" w:hAnsi="Times New Roman" w:cs="Times New Roman"/>
          <w:sz w:val="28"/>
          <w:szCs w:val="28"/>
        </w:rPr>
        <w:t xml:space="preserve"> планируется поэтапное увеличение  средней заработной платы с 18328 руб</w:t>
      </w:r>
      <w:r w:rsidR="0093455C" w:rsidRPr="009E2A33">
        <w:rPr>
          <w:rFonts w:ascii="Times New Roman" w:hAnsi="Times New Roman" w:cs="Times New Roman"/>
          <w:sz w:val="28"/>
          <w:szCs w:val="28"/>
        </w:rPr>
        <w:t>лей</w:t>
      </w:r>
      <w:r w:rsidRPr="009E2A33">
        <w:rPr>
          <w:rFonts w:ascii="Times New Roman" w:hAnsi="Times New Roman" w:cs="Times New Roman"/>
          <w:sz w:val="28"/>
          <w:szCs w:val="28"/>
        </w:rPr>
        <w:t xml:space="preserve"> до 27980,4 рублей. Поэтапный рост оплаты труда работников учреждений культуры, планируется в связи с  исполнением  Указа Президента Российской Федерации от 07.05.2012  № 597 «О мероприятиях по реализации государственной социальной политики» и доведению средней заработной платы работников культуры до средней заработной платы в регионах</w:t>
      </w:r>
      <w:r w:rsidR="0093455C" w:rsidRPr="009E2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455C" w:rsidRPr="009E2A33" w:rsidRDefault="0093455C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соответствии с данными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Астраханьстат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размер среднемесячной номинальной начисленной заработной платы работников муниципальных учреждений физической культуры и спорта в 2015 году составил 8200,0 рублей</w:t>
      </w:r>
      <w:r w:rsidR="00D178CF" w:rsidRPr="009E2A33">
        <w:rPr>
          <w:rFonts w:ascii="Times New Roman" w:hAnsi="Times New Roman" w:cs="Times New Roman"/>
          <w:sz w:val="28"/>
          <w:szCs w:val="28"/>
        </w:rPr>
        <w:t>.</w:t>
      </w: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33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45343A" w:rsidRPr="009E2A33" w:rsidRDefault="004534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Система дошкольного образования Ахтубинского района на 1 января 2016 года представлена 18 муниципальными бюджетными дошкольными образовательными учреждениями, а так же 14 общеобразовательными учреждениями, реализующими программу дошкольного образования. В данных образовательных учреждениях обучается и воспитывается 2663 ребенок и 729 детей соответственно, что составляет 66,85% от общей численности детей дошкольного возраста, проживающих в районе.</w:t>
      </w:r>
    </w:p>
    <w:p w:rsidR="0045343A" w:rsidRPr="009E2A33" w:rsidRDefault="004534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>Численность детей, состоящих на учете для определения в дошкольные образовательные учреждения, составляет 346 детей, возраст которых до 3-х лет. Детей для определения в дошкольные образовательные учреждения в возрасте 3 года и старше нет.</w:t>
      </w:r>
    </w:p>
    <w:p w:rsidR="0045343A" w:rsidRPr="009E2A33" w:rsidRDefault="00842441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45343A" w:rsidRPr="009E2A33">
        <w:rPr>
          <w:rFonts w:ascii="Times New Roman" w:hAnsi="Times New Roman" w:cs="Times New Roman"/>
          <w:sz w:val="28"/>
          <w:szCs w:val="28"/>
        </w:rPr>
        <w:t>Доля детей в возрасте 1-6 лет, получающих дошкольную образовательную услугу и услугу по содержанию в муниципальных образовательных учреждениях, в общей численности детей в возрасте 1-6 лет уменьшилась незначительно (на 0,68%) в связи с изменением демографической ситуации (увеличением количества детей в возрасте 1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45343A" w:rsidRPr="009E2A33">
        <w:rPr>
          <w:rFonts w:ascii="Times New Roman" w:hAnsi="Times New Roman" w:cs="Times New Roman"/>
          <w:sz w:val="28"/>
          <w:szCs w:val="28"/>
        </w:rPr>
        <w:t>-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45343A" w:rsidRPr="009E2A33">
        <w:rPr>
          <w:rFonts w:ascii="Times New Roman" w:hAnsi="Times New Roman" w:cs="Times New Roman"/>
          <w:sz w:val="28"/>
          <w:szCs w:val="28"/>
        </w:rPr>
        <w:t>6 лет, проживающих в районе на 0,68%) и отсутствием актуального спроса на предоставление дошкольного образования в ряде населенных</w:t>
      </w:r>
      <w:proofErr w:type="gramEnd"/>
      <w:r w:rsidR="0045343A" w:rsidRPr="009E2A33">
        <w:rPr>
          <w:rFonts w:ascii="Times New Roman" w:hAnsi="Times New Roman" w:cs="Times New Roman"/>
          <w:sz w:val="28"/>
          <w:szCs w:val="28"/>
        </w:rPr>
        <w:t xml:space="preserve"> пунктов Ахтубинского района. На протяжении 2015 года имелись вакантные места </w:t>
      </w:r>
      <w:r w:rsidR="003F4A0B" w:rsidRPr="009E2A33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дошкольного </w:t>
      </w:r>
      <w:proofErr w:type="gramStart"/>
      <w:r w:rsidR="0045343A" w:rsidRPr="009E2A3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45343A" w:rsidRPr="009E2A33">
        <w:rPr>
          <w:rFonts w:ascii="Times New Roman" w:hAnsi="Times New Roman" w:cs="Times New Roman"/>
          <w:sz w:val="28"/>
          <w:szCs w:val="28"/>
        </w:rPr>
        <w:t xml:space="preserve"> и отсутствовала очередность, в сельской местности и в поселках Средний и Верхний Баскунчак. </w:t>
      </w:r>
    </w:p>
    <w:p w:rsidR="0045343A" w:rsidRPr="009E2A33" w:rsidRDefault="00842441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10.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343A" w:rsidRPr="009E2A33">
        <w:rPr>
          <w:rFonts w:ascii="Times New Roman" w:hAnsi="Times New Roman" w:cs="Times New Roman"/>
          <w:sz w:val="28"/>
          <w:szCs w:val="28"/>
        </w:rPr>
        <w:t>Данный показатель увеличился незначительно на 0,92</w:t>
      </w:r>
      <w:r w:rsidR="003F4A0B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45343A" w:rsidRPr="009E2A33">
        <w:rPr>
          <w:rFonts w:ascii="Times New Roman" w:hAnsi="Times New Roman" w:cs="Times New Roman"/>
          <w:sz w:val="28"/>
          <w:szCs w:val="28"/>
        </w:rPr>
        <w:t>% в связи с ростом рождаемости, увеличением количества детей в возрасте 1-6 лет, а так же с изменением порядка учета детей, зарегистрированных в электронной очереди для предоставления места в муниципальных дошкольных учреждениях (в 2014 году учет велся для детей в возрасте с 1,5 лет и более, а в 2015 году дл</w:t>
      </w:r>
      <w:r w:rsidR="003F4A0B" w:rsidRPr="009E2A33">
        <w:rPr>
          <w:rFonts w:ascii="Times New Roman" w:hAnsi="Times New Roman" w:cs="Times New Roman"/>
          <w:sz w:val="28"/>
          <w:szCs w:val="28"/>
        </w:rPr>
        <w:t>я детей в возрасте с</w:t>
      </w:r>
      <w:proofErr w:type="gramEnd"/>
      <w:r w:rsidR="003F4A0B" w:rsidRPr="009E2A33">
        <w:rPr>
          <w:rFonts w:ascii="Times New Roman" w:hAnsi="Times New Roman" w:cs="Times New Roman"/>
          <w:sz w:val="28"/>
          <w:szCs w:val="28"/>
        </w:rPr>
        <w:t xml:space="preserve"> 2 месяцев), </w:t>
      </w:r>
      <w:proofErr w:type="gramStart"/>
      <w:r w:rsidR="003F4A0B" w:rsidRPr="009E2A33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45343A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3F4A0B" w:rsidRPr="009E2A33">
        <w:rPr>
          <w:rFonts w:ascii="Times New Roman" w:hAnsi="Times New Roman" w:cs="Times New Roman"/>
          <w:sz w:val="28"/>
          <w:szCs w:val="28"/>
        </w:rPr>
        <w:t>у</w:t>
      </w:r>
      <w:r w:rsidR="0045343A" w:rsidRPr="009E2A33">
        <w:rPr>
          <w:rFonts w:ascii="Times New Roman" w:hAnsi="Times New Roman" w:cs="Times New Roman"/>
          <w:sz w:val="28"/>
          <w:szCs w:val="28"/>
        </w:rPr>
        <w:t>величение данного показателя произошло за счет увеличения количества детей в возрасте от 2</w:t>
      </w:r>
      <w:r w:rsidR="00D178CF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45343A" w:rsidRPr="009E2A33">
        <w:rPr>
          <w:rFonts w:ascii="Times New Roman" w:hAnsi="Times New Roman" w:cs="Times New Roman"/>
          <w:sz w:val="28"/>
          <w:szCs w:val="28"/>
        </w:rPr>
        <w:t>месяцев до 1,5 лет (отложенный спрос на услуг дошкольного образования).</w:t>
      </w:r>
    </w:p>
    <w:p w:rsidR="0045343A" w:rsidRPr="009E2A33" w:rsidRDefault="00842441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45343A" w:rsidRPr="009E2A33">
        <w:rPr>
          <w:rFonts w:ascii="Times New Roman" w:hAnsi="Times New Roman" w:cs="Times New Roman"/>
          <w:sz w:val="28"/>
          <w:szCs w:val="28"/>
        </w:rPr>
        <w:t>Доля муниципальных дошкольных образовательных учреждений, здания которых находятся в аварийном состоянии, или требуют капитального ремонта в 2015 году не изменилась и составила 5,56%</w:t>
      </w:r>
      <w:r w:rsidR="000E7A92" w:rsidRPr="009E2A33">
        <w:rPr>
          <w:rFonts w:ascii="Times New Roman" w:hAnsi="Times New Roman" w:cs="Times New Roman"/>
          <w:sz w:val="28"/>
          <w:szCs w:val="28"/>
        </w:rPr>
        <w:t xml:space="preserve">. Объем бюджетных средств, выделяемых на мероприятия по приведению зданий и помещений муниципальных учреждений в соответствие с современными требованиями государственных стандартов не позволил снять с контроля в отчетном году </w:t>
      </w:r>
      <w:r w:rsidR="0045343A" w:rsidRPr="009E2A33">
        <w:rPr>
          <w:rFonts w:ascii="Times New Roman" w:hAnsi="Times New Roman" w:cs="Times New Roman"/>
          <w:sz w:val="28"/>
          <w:szCs w:val="28"/>
        </w:rPr>
        <w:t>ремонт здани</w:t>
      </w:r>
      <w:r w:rsidR="000E7A92" w:rsidRPr="009E2A33">
        <w:rPr>
          <w:rFonts w:ascii="Times New Roman" w:hAnsi="Times New Roman" w:cs="Times New Roman"/>
          <w:sz w:val="28"/>
          <w:szCs w:val="28"/>
        </w:rPr>
        <w:t>я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 МБДОУ </w:t>
      </w:r>
      <w:r w:rsidR="000E7A92" w:rsidRPr="009E2A33">
        <w:rPr>
          <w:rFonts w:ascii="Times New Roman" w:hAnsi="Times New Roman" w:cs="Times New Roman"/>
          <w:sz w:val="28"/>
          <w:szCs w:val="28"/>
        </w:rPr>
        <w:t>«</w:t>
      </w:r>
      <w:r w:rsidR="0045343A" w:rsidRPr="009E2A33">
        <w:rPr>
          <w:rFonts w:ascii="Times New Roman" w:hAnsi="Times New Roman" w:cs="Times New Roman"/>
          <w:sz w:val="28"/>
          <w:szCs w:val="28"/>
        </w:rPr>
        <w:t>Детский сад комбинированного вида №10</w:t>
      </w:r>
      <w:r w:rsidR="000E7A92" w:rsidRPr="009E2A33">
        <w:rPr>
          <w:rFonts w:ascii="Times New Roman" w:hAnsi="Times New Roman" w:cs="Times New Roman"/>
          <w:sz w:val="28"/>
          <w:szCs w:val="28"/>
        </w:rPr>
        <w:t>»</w:t>
      </w:r>
      <w:r w:rsidR="0045343A" w:rsidRPr="009E2A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343A" w:rsidRPr="009E2A33" w:rsidRDefault="0045343A" w:rsidP="00BA3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43A" w:rsidRPr="009E2A33" w:rsidRDefault="0045343A" w:rsidP="00BA31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33">
        <w:rPr>
          <w:rFonts w:ascii="Times New Roman" w:hAnsi="Times New Roman" w:cs="Times New Roman"/>
          <w:b/>
          <w:sz w:val="28"/>
          <w:szCs w:val="28"/>
        </w:rPr>
        <w:t>Общее и дополнительное образование</w:t>
      </w:r>
    </w:p>
    <w:p w:rsidR="00E96398" w:rsidRPr="009E2A33" w:rsidRDefault="00285A1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12. 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Доля выпускников муниципальных общеобразовательных 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 в 2015 году по сравнению с 2014 годом увеличилась из-за уменьшения численности </w:t>
      </w:r>
      <w:proofErr w:type="gramStart"/>
      <w:r w:rsidR="0045343A" w:rsidRPr="009E2A33">
        <w:rPr>
          <w:rFonts w:ascii="Times New Roman" w:hAnsi="Times New Roman" w:cs="Times New Roman"/>
          <w:sz w:val="28"/>
          <w:szCs w:val="28"/>
        </w:rPr>
        <w:t>выпускников</w:t>
      </w:r>
      <w:proofErr w:type="gramEnd"/>
      <w:r w:rsidR="0045343A" w:rsidRPr="009E2A33">
        <w:rPr>
          <w:rFonts w:ascii="Times New Roman" w:hAnsi="Times New Roman" w:cs="Times New Roman"/>
          <w:sz w:val="28"/>
          <w:szCs w:val="28"/>
        </w:rPr>
        <w:t xml:space="preserve"> не сдавших ЕГЭ по русскому языку и математике (2014год - 12чел, 2015год - 9чел).</w:t>
      </w:r>
    </w:p>
    <w:p w:rsidR="0045343A" w:rsidRPr="009E2A33" w:rsidRDefault="00E96398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Повышение качества сдачи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единого государственного экзамена произошло за счет проведения репетиционных тестирований, консультаций для учащихся, подготовки информационных и учебно-тренировочных материалов.</w:t>
      </w:r>
    </w:p>
    <w:p w:rsidR="00A85223" w:rsidRPr="009E2A33" w:rsidRDefault="00A852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С 2017 этот показатель достигнет 100,0 %.</w:t>
      </w:r>
    </w:p>
    <w:p w:rsidR="0045343A" w:rsidRPr="009E2A33" w:rsidRDefault="00285A1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13. 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Доля выпускников муниципальных общеобразовательных  учреждений, не получивших аттестат о среднем (полном) образовании, в </w:t>
      </w:r>
      <w:r w:rsidR="0045343A" w:rsidRPr="009E2A33">
        <w:rPr>
          <w:rFonts w:ascii="Times New Roman" w:hAnsi="Times New Roman" w:cs="Times New Roman"/>
          <w:sz w:val="28"/>
          <w:szCs w:val="28"/>
        </w:rPr>
        <w:lastRenderedPageBreak/>
        <w:t xml:space="preserve">общей численности выпускников муниципальных общеобразовательных учреждений в 2015 году по сравнению с 2014 годом уменьшилась </w:t>
      </w:r>
      <w:r w:rsidR="00E96398" w:rsidRPr="009E2A33">
        <w:rPr>
          <w:rFonts w:ascii="Times New Roman" w:hAnsi="Times New Roman" w:cs="Times New Roman"/>
          <w:sz w:val="28"/>
          <w:szCs w:val="28"/>
        </w:rPr>
        <w:t>на 1,01 процентных пунктов по причине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 уменьшения численности выпускников, не сдавших экзамены. Всего не получивших аттестат 10 человек: 9 по результатам ЕГЭ и 1 человек ГВЭ.</w:t>
      </w:r>
    </w:p>
    <w:p w:rsidR="00A85223" w:rsidRPr="009E2A33" w:rsidRDefault="00A852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Предполагается, что с 201</w:t>
      </w:r>
      <w:r w:rsidR="00990FAC" w:rsidRPr="009E2A33">
        <w:rPr>
          <w:rFonts w:ascii="Times New Roman" w:hAnsi="Times New Roman" w:cs="Times New Roman"/>
          <w:sz w:val="28"/>
          <w:szCs w:val="28"/>
        </w:rPr>
        <w:t>7 года все выпускники будут выпускаться с аттестатами.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43A" w:rsidRPr="009E2A33" w:rsidRDefault="00285A1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14. 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Доля муниципальных общеобразовательных учреждений, соответствующих современным требованиям  обучения в общем количестве муниципальных общеобразовательных  учреждений </w:t>
      </w:r>
      <w:r w:rsidR="0011681A" w:rsidRPr="009E2A33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45343A" w:rsidRPr="009E2A33">
        <w:rPr>
          <w:rFonts w:ascii="Times New Roman" w:hAnsi="Times New Roman" w:cs="Times New Roman"/>
          <w:sz w:val="28"/>
          <w:szCs w:val="28"/>
        </w:rPr>
        <w:t>состав</w:t>
      </w:r>
      <w:r w:rsidR="0011681A" w:rsidRPr="009E2A33">
        <w:rPr>
          <w:rFonts w:ascii="Times New Roman" w:hAnsi="Times New Roman" w:cs="Times New Roman"/>
          <w:sz w:val="28"/>
          <w:szCs w:val="28"/>
        </w:rPr>
        <w:t>ила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  </w:t>
      </w:r>
      <w:r w:rsidR="0011681A" w:rsidRPr="009E2A33">
        <w:rPr>
          <w:rFonts w:ascii="Times New Roman" w:hAnsi="Times New Roman" w:cs="Times New Roman"/>
          <w:sz w:val="28"/>
          <w:szCs w:val="28"/>
        </w:rPr>
        <w:t xml:space="preserve">81,39 </w:t>
      </w:r>
      <w:r w:rsidR="0045343A" w:rsidRPr="009E2A33">
        <w:rPr>
          <w:rFonts w:ascii="Times New Roman" w:hAnsi="Times New Roman" w:cs="Times New Roman"/>
          <w:sz w:val="28"/>
          <w:szCs w:val="28"/>
        </w:rPr>
        <w:t>%</w:t>
      </w:r>
      <w:r w:rsidR="0011681A" w:rsidRPr="009E2A33">
        <w:rPr>
          <w:rFonts w:ascii="Times New Roman" w:hAnsi="Times New Roman" w:cs="Times New Roman"/>
          <w:sz w:val="28"/>
          <w:szCs w:val="28"/>
        </w:rPr>
        <w:t>, что на 0,25 % больше 2014 года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81A" w:rsidRPr="009E2A33" w:rsidRDefault="0011681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Увеличение произошло из-за того, что в некоторых учреждениях были проведены мероприятия в соответствии с СанПиНом 2.4.2.2821-10 «Санитарно-эпидемиологические требования к условиям и организации обучения в общеобразовательных учреждениях».</w:t>
      </w:r>
    </w:p>
    <w:p w:rsidR="00C1473A" w:rsidRPr="009E2A33" w:rsidRDefault="00C147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К началу учебного года во всех учреждениях выполнены работы в соответствии с требованиями правил пожарной безопасности. По государственной программе «Доступная среда на 2011-2015 годы» получено оборудование для инклюзивного обучения детей инвалидов. Произведен косметический ремонт классов и помещений школ.</w:t>
      </w:r>
    </w:p>
    <w:p w:rsidR="00C1473A" w:rsidRPr="009E2A33" w:rsidRDefault="00285A1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15. </w:t>
      </w:r>
      <w:r w:rsidR="0045343A" w:rsidRPr="009E2A33">
        <w:rPr>
          <w:rFonts w:ascii="Times New Roman" w:hAnsi="Times New Roman" w:cs="Times New Roman"/>
          <w:sz w:val="28"/>
          <w:szCs w:val="28"/>
        </w:rPr>
        <w:t>В 2015 году в капитальном ремонте зданий нуждались 4 учреждения.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 на 01.01.2016 остается неизменной по сравнению с 2014годом и составляла 16%.</w:t>
      </w:r>
    </w:p>
    <w:p w:rsidR="0011681A" w:rsidRPr="009E2A33" w:rsidRDefault="00C1473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бюджетных средств, выделяемых на мероприятия по приведению зданий и помещений муниципальных учреждений в соответствие с современными требованиями государственных стандартов не позволил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снять с контроля в отчетном году ремонт зданий </w:t>
      </w:r>
      <w:r w:rsidR="0011681A" w:rsidRPr="009E2A33">
        <w:rPr>
          <w:rFonts w:ascii="Times New Roman" w:hAnsi="Times New Roman" w:cs="Times New Roman"/>
          <w:sz w:val="28"/>
          <w:szCs w:val="28"/>
        </w:rPr>
        <w:t>4 учреждени</w:t>
      </w:r>
      <w:r w:rsidRPr="009E2A33">
        <w:rPr>
          <w:rFonts w:ascii="Times New Roman" w:hAnsi="Times New Roman" w:cs="Times New Roman"/>
          <w:sz w:val="28"/>
          <w:szCs w:val="28"/>
        </w:rPr>
        <w:t xml:space="preserve">й </w:t>
      </w:r>
      <w:r w:rsidR="0011681A" w:rsidRPr="009E2A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1681A" w:rsidRPr="009E2A33">
        <w:rPr>
          <w:rFonts w:ascii="Times New Roman" w:hAnsi="Times New Roman" w:cs="Times New Roman"/>
          <w:sz w:val="28"/>
          <w:szCs w:val="28"/>
        </w:rPr>
        <w:t>Капустиноярская</w:t>
      </w:r>
      <w:proofErr w:type="spellEnd"/>
      <w:r w:rsidR="0011681A" w:rsidRPr="009E2A33">
        <w:rPr>
          <w:rFonts w:ascii="Times New Roman" w:hAnsi="Times New Roman" w:cs="Times New Roman"/>
          <w:sz w:val="28"/>
          <w:szCs w:val="28"/>
        </w:rPr>
        <w:t xml:space="preserve"> школа, школы № 4, 9 г. Ахтубинска, </w:t>
      </w:r>
      <w:proofErr w:type="spellStart"/>
      <w:r w:rsidR="0011681A" w:rsidRPr="009E2A33">
        <w:rPr>
          <w:rFonts w:ascii="Times New Roman" w:hAnsi="Times New Roman" w:cs="Times New Roman"/>
          <w:sz w:val="28"/>
          <w:szCs w:val="28"/>
        </w:rPr>
        <w:t>Болхунская</w:t>
      </w:r>
      <w:proofErr w:type="spellEnd"/>
      <w:r w:rsidR="0011681A" w:rsidRPr="009E2A33">
        <w:rPr>
          <w:rFonts w:ascii="Times New Roman" w:hAnsi="Times New Roman" w:cs="Times New Roman"/>
          <w:sz w:val="28"/>
          <w:szCs w:val="28"/>
        </w:rPr>
        <w:t xml:space="preserve"> школа). </w:t>
      </w:r>
    </w:p>
    <w:p w:rsidR="0045343A" w:rsidRPr="009E2A33" w:rsidRDefault="00285A1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16. 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Охрана и сохранение здоровья обучающихся является приоритетным направлением деятельности общеобразовательных учреждений. Анализ групп здоровья обучающихся показывает что, доля первой и второй групп здоровья является преобладающей и составляет </w:t>
      </w:r>
      <w:r w:rsidR="00C1473A" w:rsidRPr="009E2A33">
        <w:rPr>
          <w:rFonts w:ascii="Times New Roman" w:hAnsi="Times New Roman" w:cs="Times New Roman"/>
          <w:sz w:val="28"/>
          <w:szCs w:val="28"/>
        </w:rPr>
        <w:t xml:space="preserve">91,05 </w:t>
      </w:r>
      <w:r w:rsidR="0045343A" w:rsidRPr="009E2A33">
        <w:rPr>
          <w:rFonts w:ascii="Times New Roman" w:hAnsi="Times New Roman" w:cs="Times New Roman"/>
          <w:sz w:val="28"/>
          <w:szCs w:val="28"/>
        </w:rPr>
        <w:t>%</w:t>
      </w:r>
      <w:r w:rsidR="00C1473A" w:rsidRPr="009E2A33">
        <w:rPr>
          <w:rFonts w:ascii="Times New Roman" w:hAnsi="Times New Roman" w:cs="Times New Roman"/>
          <w:sz w:val="28"/>
          <w:szCs w:val="28"/>
        </w:rPr>
        <w:t xml:space="preserve">, это ниже 2014 года на 5,36 процентных пунктов. Уменьшение детей первой и второй группы </w:t>
      </w:r>
      <w:r w:rsidR="00112C11" w:rsidRPr="009E2A33">
        <w:rPr>
          <w:rFonts w:ascii="Times New Roman" w:hAnsi="Times New Roman" w:cs="Times New Roman"/>
          <w:sz w:val="28"/>
          <w:szCs w:val="28"/>
        </w:rPr>
        <w:t>здоровья произошло по причине того, что в 2015 году осмотр детей декретированных возрастов проходил более широким кругом специалистов, чем в предыдущие годы.</w:t>
      </w:r>
    </w:p>
    <w:p w:rsidR="00112C11" w:rsidRPr="009E2A33" w:rsidRDefault="00112C11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муниципальных общеобразовательных учреждениях проводится систематическая работа по улучшению условий пребывания школьников.</w:t>
      </w:r>
    </w:p>
    <w:p w:rsidR="00112C11" w:rsidRPr="009E2A33" w:rsidRDefault="00112C11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планируемом периоде будет продолжена реализация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здоровьсберегающих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программ, направленных на укрепление здоровья школьников.</w:t>
      </w:r>
    </w:p>
    <w:p w:rsidR="0045343A" w:rsidRPr="009E2A33" w:rsidRDefault="00285A1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proofErr w:type="gramStart"/>
      <w:r w:rsidR="0045343A" w:rsidRPr="009E2A33">
        <w:rPr>
          <w:rFonts w:ascii="Times New Roman" w:hAnsi="Times New Roman" w:cs="Times New Roman"/>
          <w:sz w:val="28"/>
          <w:szCs w:val="28"/>
        </w:rPr>
        <w:t xml:space="preserve">Данный показатель в 2015 году увеличился и составил 12.81% от общей численности, обучающихся в муниципальных </w:t>
      </w:r>
      <w:r w:rsidR="009E7190" w:rsidRPr="009E2A33">
        <w:rPr>
          <w:rFonts w:ascii="Times New Roman" w:hAnsi="Times New Roman" w:cs="Times New Roman"/>
          <w:sz w:val="28"/>
          <w:szCs w:val="28"/>
        </w:rPr>
        <w:t>общеобразовательных учреждениях.</w:t>
      </w:r>
      <w:proofErr w:type="gramEnd"/>
      <w:r w:rsidR="0045343A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9E7190" w:rsidRPr="009E2A33">
        <w:rPr>
          <w:rFonts w:ascii="Times New Roman" w:hAnsi="Times New Roman" w:cs="Times New Roman"/>
          <w:sz w:val="28"/>
          <w:szCs w:val="28"/>
        </w:rPr>
        <w:t>В 2015 году на 120 человек увеличилась численность учащихся.</w:t>
      </w:r>
    </w:p>
    <w:p w:rsidR="00A355DC" w:rsidRPr="009E2A33" w:rsidRDefault="00285A19" w:rsidP="00A355D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18.</w:t>
      </w:r>
      <w:r w:rsidR="00E339BB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A355DC" w:rsidRPr="009E2A33">
        <w:rPr>
          <w:rFonts w:ascii="Times New Roman" w:hAnsi="Times New Roman" w:cs="Times New Roman"/>
          <w:sz w:val="28"/>
          <w:szCs w:val="28"/>
        </w:rPr>
        <w:t xml:space="preserve">Расходы на общее образование в 2015 году уменьшились на сумму 179,55 тыс. руб. и сложились в сумме 439 166,82 тыс. руб., что связано с поступлением субвенции из областного бюджета ниже плановых назначений. </w:t>
      </w:r>
    </w:p>
    <w:p w:rsidR="00A355DC" w:rsidRPr="009E2A33" w:rsidRDefault="00A355DC" w:rsidP="00A355DC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Расходы бюджета муниципального образования на общее образование в расчете на 1 обучающегося в муниципальных образовательных учреждениях снизились </w:t>
      </w:r>
      <w:r w:rsidR="00F0483A" w:rsidRPr="009E2A33">
        <w:rPr>
          <w:rFonts w:ascii="Times New Roman" w:hAnsi="Times New Roman" w:cs="Times New Roman"/>
          <w:sz w:val="28"/>
          <w:szCs w:val="28"/>
        </w:rPr>
        <w:t xml:space="preserve">на 19,8 % </w:t>
      </w:r>
      <w:r w:rsidRPr="009E2A33">
        <w:rPr>
          <w:rFonts w:ascii="Times New Roman" w:hAnsi="Times New Roman" w:cs="Times New Roman"/>
          <w:sz w:val="28"/>
          <w:szCs w:val="28"/>
        </w:rPr>
        <w:t xml:space="preserve">причина этому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недополучение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субвенции из областного бюджета и увеличение среднегодовой численности учащихся.</w:t>
      </w:r>
    </w:p>
    <w:p w:rsidR="00F0483A" w:rsidRPr="009E2A33" w:rsidRDefault="00285A1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19. </w:t>
      </w:r>
      <w:r w:rsidR="0045343A" w:rsidRPr="009E2A33">
        <w:rPr>
          <w:rFonts w:ascii="Times New Roman" w:hAnsi="Times New Roman" w:cs="Times New Roman"/>
          <w:sz w:val="28"/>
          <w:szCs w:val="28"/>
        </w:rPr>
        <w:t xml:space="preserve">Доля детей в возрасте 5-18 лет, получающих услуги по дополнительному образованию, в общей численности детей этой возрастной группы увеличилась </w:t>
      </w:r>
      <w:r w:rsidR="00F0483A" w:rsidRPr="009E2A33">
        <w:rPr>
          <w:rFonts w:ascii="Times New Roman" w:hAnsi="Times New Roman" w:cs="Times New Roman"/>
          <w:sz w:val="28"/>
          <w:szCs w:val="28"/>
        </w:rPr>
        <w:t xml:space="preserve">с 62,86 % в 2014 году </w:t>
      </w:r>
      <w:r w:rsidR="0045343A" w:rsidRPr="009E2A33">
        <w:rPr>
          <w:rFonts w:ascii="Times New Roman" w:hAnsi="Times New Roman" w:cs="Times New Roman"/>
          <w:sz w:val="28"/>
          <w:szCs w:val="28"/>
        </w:rPr>
        <w:t>до 65,48% в 2015 году, в связи с увеличением общей численности учащихся в учреждениях дополнительного образования детей.</w:t>
      </w:r>
      <w:r w:rsidR="00F0483A" w:rsidRPr="009E2A33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подведомственные управлению образованием стабильно функционируют, осуществляют реализацию образовательных программ по семи направленностям.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Рост показателя по численности детей, получаемых услуги по дополнительному образованию детей в сфере культуры объясняется увеличением </w:t>
      </w:r>
      <w:r w:rsidR="00EF3A67" w:rsidRPr="009E2A33">
        <w:rPr>
          <w:rFonts w:ascii="Times New Roman" w:hAnsi="Times New Roman" w:cs="Times New Roman"/>
          <w:sz w:val="28"/>
          <w:szCs w:val="28"/>
        </w:rPr>
        <w:t>контингента</w:t>
      </w:r>
      <w:r w:rsidRPr="009E2A33">
        <w:rPr>
          <w:rFonts w:ascii="Times New Roman" w:hAnsi="Times New Roman" w:cs="Times New Roman"/>
          <w:sz w:val="28"/>
          <w:szCs w:val="28"/>
        </w:rPr>
        <w:t>, получающих услуги на платной основе (раннее эстетическое образование, изобразительное искусство, инструменталисты, вокалисты).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A33">
        <w:rPr>
          <w:rFonts w:ascii="Times New Roman" w:eastAsia="Calibri" w:hAnsi="Times New Roman" w:cs="Times New Roman"/>
          <w:iCs/>
          <w:sz w:val="28"/>
          <w:szCs w:val="28"/>
        </w:rPr>
        <w:t>В период 2016-2018</w:t>
      </w:r>
      <w:r w:rsidR="00E339BB" w:rsidRPr="009E2A3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E2A33">
        <w:rPr>
          <w:rFonts w:ascii="Times New Roman" w:eastAsia="Calibri" w:hAnsi="Times New Roman" w:cs="Times New Roman"/>
          <w:iCs/>
          <w:sz w:val="28"/>
          <w:szCs w:val="28"/>
        </w:rPr>
        <w:t>г</w:t>
      </w:r>
      <w:r w:rsidR="00E339BB" w:rsidRPr="009E2A33">
        <w:rPr>
          <w:rFonts w:ascii="Times New Roman" w:eastAsia="Calibri" w:hAnsi="Times New Roman" w:cs="Times New Roman"/>
          <w:iCs/>
          <w:sz w:val="28"/>
          <w:szCs w:val="28"/>
        </w:rPr>
        <w:t>оды</w:t>
      </w:r>
      <w:r w:rsidRPr="009E2A33">
        <w:rPr>
          <w:rFonts w:ascii="Times New Roman" w:eastAsia="Calibri" w:hAnsi="Times New Roman" w:cs="Times New Roman"/>
          <w:iCs/>
          <w:sz w:val="28"/>
          <w:szCs w:val="28"/>
        </w:rPr>
        <w:t xml:space="preserve"> планируется увеличение численности детей на уровне за счет расширения специализаций дополнительных общеобразовательных общеразвивающих программ.</w:t>
      </w:r>
    </w:p>
    <w:p w:rsidR="00EF3A67" w:rsidRPr="009E2A33" w:rsidRDefault="00745A6F" w:rsidP="00EF3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eastAsia="Calibri" w:hAnsi="Times New Roman" w:cs="Times New Roman"/>
          <w:sz w:val="28"/>
          <w:szCs w:val="28"/>
        </w:rPr>
        <w:t>Ахтубинском</w:t>
      </w:r>
      <w:proofErr w:type="gramEnd"/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 районе работают две школы дополнительного образования</w:t>
      </w:r>
      <w:r w:rsidRPr="009E2A33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  <w:r w:rsidRPr="009E2A33">
        <w:rPr>
          <w:rFonts w:ascii="Times New Roman" w:eastAsia="Calibri" w:hAnsi="Times New Roman" w:cs="Times New Roman"/>
          <w:sz w:val="28"/>
          <w:szCs w:val="28"/>
        </w:rPr>
        <w:t>детей:</w:t>
      </w:r>
      <w:r w:rsidR="00EF3A67" w:rsidRPr="009E2A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45A6F" w:rsidRPr="009E2A33" w:rsidRDefault="00EF3A67" w:rsidP="00EF3A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E2A3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5A6F" w:rsidRPr="009E2A33">
        <w:rPr>
          <w:rFonts w:ascii="Times New Roman" w:eastAsia="Calibri" w:hAnsi="Times New Roman" w:cs="Times New Roman"/>
          <w:bCs/>
          <w:sz w:val="28"/>
          <w:szCs w:val="28"/>
        </w:rPr>
        <w:t>Районная детская школа искусств им.</w:t>
      </w:r>
      <w:r w:rsidRPr="009E2A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5A6F" w:rsidRPr="009E2A33">
        <w:rPr>
          <w:rFonts w:ascii="Times New Roman" w:eastAsia="Calibri" w:hAnsi="Times New Roman" w:cs="Times New Roman"/>
          <w:bCs/>
          <w:sz w:val="28"/>
          <w:szCs w:val="28"/>
        </w:rPr>
        <w:t>М.</w:t>
      </w:r>
      <w:r w:rsidRPr="009E2A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5A6F" w:rsidRPr="009E2A33"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Pr="009E2A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45A6F" w:rsidRPr="009E2A33">
        <w:rPr>
          <w:rFonts w:ascii="Times New Roman" w:eastAsia="Calibri" w:hAnsi="Times New Roman" w:cs="Times New Roman"/>
          <w:bCs/>
          <w:sz w:val="28"/>
          <w:szCs w:val="28"/>
        </w:rPr>
        <w:t>Балакирева</w:t>
      </w:r>
      <w:r w:rsidR="00745A6F" w:rsidRPr="009E2A33">
        <w:rPr>
          <w:rFonts w:ascii="Times New Roman" w:eastAsia="Calibri" w:hAnsi="Times New Roman" w:cs="Times New Roman"/>
          <w:sz w:val="28"/>
          <w:szCs w:val="28"/>
        </w:rPr>
        <w:t xml:space="preserve"> является ведущей в Астраханской области, в ней обучается </w:t>
      </w:r>
      <w:proofErr w:type="gramStart"/>
      <w:r w:rsidR="00745A6F" w:rsidRPr="009E2A33">
        <w:rPr>
          <w:rFonts w:ascii="Times New Roman" w:eastAsia="Calibri" w:hAnsi="Times New Roman" w:cs="Times New Roman"/>
          <w:sz w:val="28"/>
          <w:szCs w:val="28"/>
        </w:rPr>
        <w:t>более тысячи детей</w:t>
      </w:r>
      <w:proofErr w:type="gramEnd"/>
      <w:r w:rsidR="00745A6F" w:rsidRPr="009E2A33">
        <w:rPr>
          <w:rFonts w:ascii="Times New Roman" w:eastAsia="Calibri" w:hAnsi="Times New Roman" w:cs="Times New Roman"/>
          <w:sz w:val="28"/>
          <w:szCs w:val="28"/>
        </w:rPr>
        <w:t>. Ее структура включает в себя головное учреждение и 3 филиала (пос.</w:t>
      </w:r>
      <w:r w:rsidR="00745A6F" w:rsidRPr="009E2A33">
        <w:rPr>
          <w:rFonts w:ascii="Times New Roman" w:eastAsia="Calibri" w:hAnsi="Times New Roman" w:cs="Times New Roman"/>
          <w:iCs/>
          <w:sz w:val="28"/>
          <w:szCs w:val="28"/>
        </w:rPr>
        <w:t xml:space="preserve"> Верхний Баскунчак, пос. Нижний Баскунчак, Заречье). В школе обучается свыше  1300 учащихся разного возраста на 6 отделениях (фортепиано, народные инструменты, оркестровые инструменты, вокально-хоровое пение, общее эстетическое образование, смежные виды искусств), работают более 70 преподавателей</w:t>
      </w:r>
      <w:proofErr w:type="gramStart"/>
      <w:r w:rsidR="00745A6F" w:rsidRPr="009E2A33">
        <w:rPr>
          <w:rFonts w:ascii="Times New Roman" w:eastAsia="Calibri" w:hAnsi="Times New Roman" w:cs="Times New Roman"/>
          <w:iCs/>
          <w:sz w:val="28"/>
          <w:szCs w:val="28"/>
        </w:rPr>
        <w:t xml:space="preserve"> Ф</w:t>
      </w:r>
      <w:proofErr w:type="gramEnd"/>
      <w:r w:rsidR="00745A6F" w:rsidRPr="009E2A33">
        <w:rPr>
          <w:rFonts w:ascii="Times New Roman" w:eastAsia="Calibri" w:hAnsi="Times New Roman" w:cs="Times New Roman"/>
          <w:iCs/>
          <w:sz w:val="28"/>
          <w:szCs w:val="28"/>
        </w:rPr>
        <w:t>ункционируют дополнительные платные программы – отделение «Раннего эстетического развития», обучение взрослого населения на музыкальных инструментах, вокалу и основам ИЗО.</w:t>
      </w:r>
    </w:p>
    <w:p w:rsidR="00745A6F" w:rsidRPr="009E2A33" w:rsidRDefault="00EF3A67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A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r w:rsidR="00745A6F" w:rsidRPr="009E2A3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Районная художественная школа № 4 </w:t>
      </w:r>
      <w:proofErr w:type="spellStart"/>
      <w:r w:rsidR="00745A6F" w:rsidRPr="009E2A33">
        <w:rPr>
          <w:rFonts w:ascii="Times New Roman" w:eastAsia="Calibri" w:hAnsi="Times New Roman" w:cs="Times New Roman"/>
          <w:bCs/>
          <w:iCs/>
          <w:sz w:val="28"/>
          <w:szCs w:val="28"/>
        </w:rPr>
        <w:t>им.П.И.Котова</w:t>
      </w:r>
      <w:proofErr w:type="spellEnd"/>
      <w:r w:rsidR="00745A6F" w:rsidRPr="009E2A33">
        <w:rPr>
          <w:rFonts w:ascii="Times New Roman" w:eastAsia="Calibri" w:hAnsi="Times New Roman" w:cs="Times New Roman"/>
          <w:iCs/>
          <w:sz w:val="28"/>
          <w:szCs w:val="28"/>
        </w:rPr>
        <w:t xml:space="preserve"> имеет два филиала – в микрорайоне «Степной» и в поселке Верхний Баскунчак.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A33">
        <w:rPr>
          <w:rFonts w:ascii="Times New Roman" w:hAnsi="Times New Roman" w:cs="Times New Roman"/>
          <w:iCs/>
          <w:sz w:val="28"/>
          <w:szCs w:val="28"/>
        </w:rPr>
        <w:t>Учащиеся школ являются постоянными участниками, победителями и лауреатами международных, всероссийских, региональных и районных фестивалей и конкурсов.</w:t>
      </w:r>
    </w:p>
    <w:p w:rsidR="00745A6F" w:rsidRPr="009E2A33" w:rsidRDefault="00745A6F" w:rsidP="00BA31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36CC" w:rsidRPr="009E2A33" w:rsidRDefault="003036CC" w:rsidP="00BA3187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>20.</w:t>
      </w:r>
      <w:r w:rsidR="00745A6F"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5A6F" w:rsidRPr="009E2A33"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муниципальными учреждениями культуры клубного типа на территории  Ахтубинского района от нормативной потребности в период с 2013 по 2015 год вырос с </w:t>
      </w:r>
      <w:r w:rsidRPr="009E2A33">
        <w:rPr>
          <w:rFonts w:ascii="Times New Roman" w:hAnsi="Times New Roman" w:cs="Times New Roman"/>
          <w:sz w:val="28"/>
          <w:szCs w:val="28"/>
        </w:rPr>
        <w:t>75,73</w:t>
      </w:r>
      <w:r w:rsidR="00745A6F" w:rsidRPr="009E2A33">
        <w:rPr>
          <w:rFonts w:ascii="Times New Roman" w:hAnsi="Times New Roman" w:cs="Times New Roman"/>
          <w:sz w:val="28"/>
          <w:szCs w:val="28"/>
        </w:rPr>
        <w:t xml:space="preserve">% до </w:t>
      </w:r>
      <w:r w:rsidRPr="009E2A33">
        <w:rPr>
          <w:rFonts w:ascii="Times New Roman" w:hAnsi="Times New Roman" w:cs="Times New Roman"/>
          <w:sz w:val="28"/>
          <w:szCs w:val="28"/>
        </w:rPr>
        <w:t xml:space="preserve">77,97 </w:t>
      </w:r>
      <w:r w:rsidR="00745A6F" w:rsidRPr="009E2A33">
        <w:rPr>
          <w:rFonts w:ascii="Times New Roman" w:hAnsi="Times New Roman" w:cs="Times New Roman"/>
          <w:sz w:val="28"/>
          <w:szCs w:val="28"/>
        </w:rPr>
        <w:t>%. Норматив 2015 года – 74 зрительских мест на 1000 человек населения, фактическое количество – 38</w:t>
      </w:r>
      <w:r w:rsidRPr="009E2A33">
        <w:rPr>
          <w:rFonts w:ascii="Times New Roman" w:hAnsi="Times New Roman" w:cs="Times New Roman"/>
          <w:sz w:val="28"/>
          <w:szCs w:val="28"/>
        </w:rPr>
        <w:t>09</w:t>
      </w:r>
      <w:r w:rsidR="00745A6F" w:rsidRPr="009E2A33">
        <w:rPr>
          <w:rFonts w:ascii="Times New Roman" w:hAnsi="Times New Roman" w:cs="Times New Roman"/>
          <w:sz w:val="28"/>
          <w:szCs w:val="28"/>
        </w:rPr>
        <w:t xml:space="preserve"> посадочных места, с учетом ведомственных учреждений культуры количество посадочных мест - 5462. </w:t>
      </w:r>
      <w:proofErr w:type="gramEnd"/>
    </w:p>
    <w:p w:rsidR="00745A6F" w:rsidRPr="009E2A33" w:rsidRDefault="00745A6F" w:rsidP="00BA3187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Изменение численности зрительских мест  в 2016 </w:t>
      </w:r>
      <w:r w:rsidR="00EF3A67" w:rsidRPr="009E2A33">
        <w:rPr>
          <w:rFonts w:ascii="Times New Roman" w:hAnsi="Times New Roman" w:cs="Times New Roman"/>
          <w:sz w:val="28"/>
          <w:szCs w:val="28"/>
        </w:rPr>
        <w:t>–</w:t>
      </w:r>
      <w:r w:rsidRPr="009E2A33">
        <w:rPr>
          <w:rFonts w:ascii="Times New Roman" w:hAnsi="Times New Roman" w:cs="Times New Roman"/>
          <w:sz w:val="28"/>
          <w:szCs w:val="28"/>
        </w:rPr>
        <w:t xml:space="preserve"> 2018</w:t>
      </w:r>
      <w:r w:rsidR="00EF3A67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г</w:t>
      </w:r>
      <w:r w:rsidR="00EF3A67" w:rsidRPr="009E2A33">
        <w:rPr>
          <w:rFonts w:ascii="Times New Roman" w:hAnsi="Times New Roman" w:cs="Times New Roman"/>
          <w:sz w:val="28"/>
          <w:szCs w:val="28"/>
        </w:rPr>
        <w:t>одах</w:t>
      </w:r>
      <w:r w:rsidRPr="009E2A33">
        <w:rPr>
          <w:rFonts w:ascii="Times New Roman" w:hAnsi="Times New Roman" w:cs="Times New Roman"/>
          <w:sz w:val="28"/>
          <w:szCs w:val="28"/>
        </w:rPr>
        <w:t xml:space="preserve"> по району не планируется. В период с 201</w:t>
      </w:r>
      <w:r w:rsidR="00EF3A67" w:rsidRPr="009E2A33">
        <w:rPr>
          <w:rFonts w:ascii="Times New Roman" w:hAnsi="Times New Roman" w:cs="Times New Roman"/>
          <w:sz w:val="28"/>
          <w:szCs w:val="28"/>
        </w:rPr>
        <w:t>6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EF3A67" w:rsidRPr="009E2A33">
        <w:rPr>
          <w:rFonts w:ascii="Times New Roman" w:hAnsi="Times New Roman" w:cs="Times New Roman"/>
          <w:sz w:val="28"/>
          <w:szCs w:val="28"/>
        </w:rPr>
        <w:t>по</w:t>
      </w:r>
      <w:r w:rsidRPr="009E2A33">
        <w:rPr>
          <w:rFonts w:ascii="Times New Roman" w:hAnsi="Times New Roman" w:cs="Times New Roman"/>
          <w:sz w:val="28"/>
          <w:szCs w:val="28"/>
        </w:rPr>
        <w:t xml:space="preserve"> 201</w:t>
      </w:r>
      <w:r w:rsidR="00EF3A67" w:rsidRPr="009E2A33">
        <w:rPr>
          <w:rFonts w:ascii="Times New Roman" w:hAnsi="Times New Roman" w:cs="Times New Roman"/>
          <w:sz w:val="28"/>
          <w:szCs w:val="28"/>
        </w:rPr>
        <w:t>8</w:t>
      </w:r>
      <w:r w:rsidRPr="009E2A33">
        <w:rPr>
          <w:rFonts w:ascii="Times New Roman" w:hAnsi="Times New Roman" w:cs="Times New Roman"/>
          <w:sz w:val="28"/>
          <w:szCs w:val="28"/>
        </w:rPr>
        <w:t xml:space="preserve"> года планируется увеличение показателя </w:t>
      </w:r>
      <w:r w:rsidR="00EF3A67" w:rsidRPr="009E2A33">
        <w:rPr>
          <w:rFonts w:ascii="Times New Roman" w:hAnsi="Times New Roman" w:cs="Times New Roman"/>
          <w:sz w:val="28"/>
          <w:szCs w:val="28"/>
        </w:rPr>
        <w:t>до</w:t>
      </w:r>
      <w:r w:rsidRPr="009E2A33">
        <w:rPr>
          <w:rFonts w:ascii="Times New Roman" w:hAnsi="Times New Roman" w:cs="Times New Roman"/>
          <w:sz w:val="28"/>
          <w:szCs w:val="28"/>
        </w:rPr>
        <w:t xml:space="preserve"> 85,6</w:t>
      </w:r>
      <w:r w:rsidR="00EF3A67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%, а с учетом ведомственных учреждений культуры – 114%</w:t>
      </w:r>
      <w:r w:rsidR="00EF3A67" w:rsidRPr="009E2A33">
        <w:rPr>
          <w:rFonts w:ascii="Times New Roman" w:hAnsi="Times New Roman" w:cs="Times New Roman"/>
          <w:sz w:val="28"/>
          <w:szCs w:val="28"/>
        </w:rPr>
        <w:t>.</w:t>
      </w:r>
      <w:r w:rsidRPr="009E2A33">
        <w:rPr>
          <w:rFonts w:ascii="Times New Roman" w:hAnsi="Times New Roman" w:cs="Times New Roman"/>
          <w:iCs/>
          <w:sz w:val="28"/>
          <w:szCs w:val="28"/>
        </w:rPr>
        <w:t xml:space="preserve"> На увеличение данного показателя повлияет снижение среднегодовой численности населения при неизменном количестве посадочных мест. 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районе широко развита библиотечная сеть. 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2A3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E2A33">
        <w:rPr>
          <w:rFonts w:ascii="Times New Roman" w:hAnsi="Times New Roman" w:cs="Times New Roman"/>
          <w:sz w:val="28"/>
          <w:szCs w:val="28"/>
        </w:rPr>
        <w:t xml:space="preserve">ровень фактической обеспеченности библиотеками по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Ахтубинскому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району составляет 100%, в соответствии с </w:t>
      </w:r>
      <w:r w:rsidRPr="009E2A33"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3 июля 1996 г. «Социальные нормы и нормативы».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По данному нормативу количество библиотек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районе должно составлять – 27 ед. </w:t>
      </w:r>
      <w:r w:rsidRPr="009E2A33">
        <w:rPr>
          <w:rFonts w:ascii="Times New Roman" w:hAnsi="Times New Roman" w:cs="Times New Roman"/>
          <w:color w:val="000000"/>
          <w:sz w:val="28"/>
          <w:szCs w:val="28"/>
        </w:rPr>
        <w:t xml:space="preserve">В МО «Ахтубинский район» функционируют 27 библиотеки: </w:t>
      </w:r>
      <w:r w:rsidRPr="009E2A33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центральная библиотека», которая состоит из 21 структурных подразделений, 18 из которых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в сельских поселениях и 6 городских библиотек. Данное количество библиотек соответствует нормативной потребности. Сеть библиотек не изменилась по отношению к 2014 году, и на плановый период 2016-2018 годов ее планируется сохранить. Данного количества библиотек достаточно для охвата населения Ахтубинского района библиотечными услугами.  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Парков культуры и отдыха в МО </w:t>
      </w:r>
      <w:r w:rsidRPr="009E2A33">
        <w:rPr>
          <w:rFonts w:ascii="Times New Roman" w:hAnsi="Times New Roman" w:cs="Times New Roman"/>
          <w:color w:val="000000"/>
          <w:sz w:val="28"/>
          <w:szCs w:val="28"/>
        </w:rPr>
        <w:t xml:space="preserve">«Ахтубинский район» нет. </w:t>
      </w:r>
    </w:p>
    <w:p w:rsidR="001B1C14" w:rsidRPr="009E2A33" w:rsidRDefault="003036CC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bCs/>
          <w:sz w:val="28"/>
          <w:szCs w:val="28"/>
        </w:rPr>
        <w:t>21.</w:t>
      </w:r>
      <w:r w:rsidR="00745A6F" w:rsidRPr="009E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A6F" w:rsidRPr="009E2A33">
        <w:rPr>
          <w:rFonts w:ascii="Times New Roman" w:hAnsi="Times New Roman" w:cs="Times New Roman"/>
          <w:sz w:val="28"/>
          <w:szCs w:val="28"/>
        </w:rPr>
        <w:t xml:space="preserve">В 2014 году доля муниципальных учреждений культуры, здания которых </w:t>
      </w:r>
      <w:proofErr w:type="gramStart"/>
      <w:r w:rsidR="00745A6F" w:rsidRPr="009E2A33">
        <w:rPr>
          <w:rFonts w:ascii="Times New Roman" w:hAnsi="Times New Roman" w:cs="Times New Roman"/>
          <w:sz w:val="28"/>
          <w:szCs w:val="28"/>
        </w:rPr>
        <w:t>требуют капитального ремонта составляла</w:t>
      </w:r>
      <w:proofErr w:type="gramEnd"/>
      <w:r w:rsidR="00745A6F" w:rsidRPr="009E2A33">
        <w:rPr>
          <w:rFonts w:ascii="Times New Roman" w:hAnsi="Times New Roman" w:cs="Times New Roman"/>
          <w:sz w:val="28"/>
          <w:szCs w:val="28"/>
        </w:rPr>
        <w:t xml:space="preserve"> 23,68%. В 2015 году </w:t>
      </w:r>
      <w:r w:rsidRPr="009E2A3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45A6F" w:rsidRPr="009E2A33">
        <w:rPr>
          <w:rFonts w:ascii="Times New Roman" w:hAnsi="Times New Roman" w:cs="Times New Roman"/>
          <w:sz w:val="28"/>
          <w:szCs w:val="28"/>
        </w:rPr>
        <w:t>проведен</w:t>
      </w:r>
      <w:r w:rsidRPr="009E2A33">
        <w:rPr>
          <w:rFonts w:ascii="Times New Roman" w:hAnsi="Times New Roman" w:cs="Times New Roman"/>
          <w:sz w:val="28"/>
          <w:szCs w:val="28"/>
        </w:rPr>
        <w:t>ного</w:t>
      </w:r>
      <w:r w:rsidR="00745A6F" w:rsidRPr="009E2A33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9E2A33">
        <w:rPr>
          <w:rFonts w:ascii="Times New Roman" w:hAnsi="Times New Roman" w:cs="Times New Roman"/>
          <w:sz w:val="28"/>
          <w:szCs w:val="28"/>
        </w:rPr>
        <w:t>а</w:t>
      </w:r>
      <w:r w:rsidR="00745A6F" w:rsidRPr="009E2A33">
        <w:rPr>
          <w:rFonts w:ascii="Times New Roman" w:hAnsi="Times New Roman" w:cs="Times New Roman"/>
          <w:sz w:val="28"/>
          <w:szCs w:val="28"/>
        </w:rPr>
        <w:t xml:space="preserve"> в зданиях сельских домов культуры</w:t>
      </w:r>
      <w:r w:rsidRPr="009E2A33">
        <w:rPr>
          <w:rFonts w:ascii="Times New Roman" w:hAnsi="Times New Roman" w:cs="Times New Roman"/>
          <w:sz w:val="28"/>
          <w:szCs w:val="28"/>
        </w:rPr>
        <w:t xml:space="preserve"> доля учреждений культуры, здания которых требуют капитального ремонта уменьшилась на 7,89 процентных пунктов и составила </w:t>
      </w:r>
      <w:r w:rsidR="001B1C14" w:rsidRPr="009E2A33">
        <w:rPr>
          <w:rFonts w:ascii="Times New Roman" w:hAnsi="Times New Roman" w:cs="Times New Roman"/>
          <w:sz w:val="28"/>
          <w:szCs w:val="28"/>
        </w:rPr>
        <w:t>15,79 %</w:t>
      </w:r>
      <w:r w:rsidR="00745A6F" w:rsidRPr="009E2A33">
        <w:rPr>
          <w:rFonts w:ascii="Times New Roman" w:hAnsi="Times New Roman" w:cs="Times New Roman"/>
          <w:sz w:val="28"/>
          <w:szCs w:val="28"/>
        </w:rPr>
        <w:t>.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плановый период с 2016-2018</w:t>
      </w:r>
      <w:r w:rsidR="001B1C14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г</w:t>
      </w:r>
      <w:r w:rsidR="001B1C14" w:rsidRPr="009E2A33">
        <w:rPr>
          <w:rFonts w:ascii="Times New Roman" w:hAnsi="Times New Roman" w:cs="Times New Roman"/>
          <w:sz w:val="28"/>
          <w:szCs w:val="28"/>
        </w:rPr>
        <w:t>оды</w:t>
      </w:r>
      <w:r w:rsidRPr="009E2A33">
        <w:rPr>
          <w:rFonts w:ascii="Times New Roman" w:hAnsi="Times New Roman" w:cs="Times New Roman"/>
          <w:sz w:val="28"/>
          <w:szCs w:val="28"/>
        </w:rPr>
        <w:t xml:space="preserve"> планируется снижение показателя за счет проведения </w:t>
      </w:r>
      <w:r w:rsidRPr="009E2A33">
        <w:rPr>
          <w:rFonts w:ascii="Times New Roman" w:hAnsi="Times New Roman" w:cs="Times New Roman"/>
          <w:bCs/>
          <w:sz w:val="28"/>
          <w:szCs w:val="28"/>
        </w:rPr>
        <w:t>м</w:t>
      </w:r>
      <w:r w:rsidRPr="009E2A33">
        <w:rPr>
          <w:rFonts w:ascii="Times New Roman" w:hAnsi="Times New Roman" w:cs="Times New Roman"/>
          <w:sz w:val="28"/>
          <w:szCs w:val="28"/>
        </w:rPr>
        <w:t xml:space="preserve">ероприятий по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капитальному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Дома культуры села Успе</w:t>
      </w:r>
      <w:r w:rsidR="001B1C14" w:rsidRPr="009E2A33">
        <w:rPr>
          <w:rFonts w:ascii="Times New Roman" w:hAnsi="Times New Roman" w:cs="Times New Roman"/>
          <w:sz w:val="28"/>
          <w:szCs w:val="28"/>
        </w:rPr>
        <w:t xml:space="preserve">нка, Дома культуры села </w:t>
      </w:r>
      <w:proofErr w:type="spellStart"/>
      <w:r w:rsidR="001B1C14" w:rsidRPr="009E2A33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. Ремонт здания дома культуры села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запланирован в отраслевой  целевой программе «Развитие культуры села Астраханской области на 2013-2020годы»</w:t>
      </w:r>
      <w:r w:rsidR="001B1C14" w:rsidRPr="009E2A33">
        <w:rPr>
          <w:rFonts w:ascii="Times New Roman" w:hAnsi="Times New Roman" w:cs="Times New Roman"/>
          <w:sz w:val="28"/>
          <w:szCs w:val="28"/>
        </w:rPr>
        <w:t>.</w:t>
      </w:r>
      <w:r w:rsidRPr="009E2A33">
        <w:rPr>
          <w:rFonts w:ascii="Times New Roman" w:hAnsi="Times New Roman" w:cs="Times New Roman"/>
          <w:sz w:val="28"/>
          <w:szCs w:val="28"/>
        </w:rPr>
        <w:t xml:space="preserve"> Доля объектов, требующих капитального ремонта в общем количестве объектов  муниципальных учреждений культуры к 201</w:t>
      </w:r>
      <w:r w:rsidR="001B1C14" w:rsidRPr="009E2A33">
        <w:rPr>
          <w:rFonts w:ascii="Times New Roman" w:hAnsi="Times New Roman" w:cs="Times New Roman"/>
          <w:sz w:val="28"/>
          <w:szCs w:val="28"/>
        </w:rPr>
        <w:t>8</w:t>
      </w:r>
      <w:r w:rsidRPr="009E2A33">
        <w:rPr>
          <w:rFonts w:ascii="Times New Roman" w:hAnsi="Times New Roman" w:cs="Times New Roman"/>
          <w:sz w:val="28"/>
          <w:szCs w:val="28"/>
        </w:rPr>
        <w:t xml:space="preserve"> году уменьш</w:t>
      </w:r>
      <w:r w:rsidR="001B1C14" w:rsidRPr="009E2A33">
        <w:rPr>
          <w:rFonts w:ascii="Times New Roman" w:hAnsi="Times New Roman" w:cs="Times New Roman"/>
          <w:sz w:val="28"/>
          <w:szCs w:val="28"/>
        </w:rPr>
        <w:t>ится</w:t>
      </w:r>
      <w:r w:rsidRPr="009E2A33">
        <w:rPr>
          <w:rFonts w:ascii="Times New Roman" w:hAnsi="Times New Roman" w:cs="Times New Roman"/>
          <w:sz w:val="28"/>
          <w:szCs w:val="28"/>
        </w:rPr>
        <w:t xml:space="preserve"> до 10,53 %. </w:t>
      </w:r>
    </w:p>
    <w:p w:rsidR="00745A6F" w:rsidRPr="009E2A33" w:rsidRDefault="0011681A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22. </w:t>
      </w:r>
      <w:r w:rsidR="00745A6F" w:rsidRPr="009E2A33">
        <w:rPr>
          <w:rFonts w:ascii="Times New Roman" w:hAnsi="Times New Roman" w:cs="Times New Roman"/>
          <w:sz w:val="28"/>
          <w:szCs w:val="28"/>
        </w:rPr>
        <w:t>На территории Ахтубинского района в муниципальной собственности находятся 99 объектов культурного наследия, в том числе 92 памятника, обелисков, братских могил, из них 21 памятник имеет статус регионального значения. Памятников архитектуры на территории района - 7, из них 1 памятник истории и культуры Федерального значения.</w:t>
      </w:r>
    </w:p>
    <w:p w:rsidR="00745A6F" w:rsidRPr="009E2A33" w:rsidRDefault="00745A6F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Количество объектов, требующих реставрации и капитального ремонта в общем количестве объектов культурного наследия, находящихся в </w:t>
      </w:r>
      <w:r w:rsidRPr="009E2A3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составляет 4,0</w:t>
      </w:r>
      <w:r w:rsidR="006B2F62" w:rsidRPr="009E2A33">
        <w:rPr>
          <w:rFonts w:ascii="Times New Roman" w:hAnsi="Times New Roman" w:cs="Times New Roman"/>
          <w:sz w:val="28"/>
          <w:szCs w:val="28"/>
        </w:rPr>
        <w:t xml:space="preserve">4 </w:t>
      </w:r>
      <w:r w:rsidRPr="009E2A33">
        <w:rPr>
          <w:rFonts w:ascii="Times New Roman" w:hAnsi="Times New Roman" w:cs="Times New Roman"/>
          <w:sz w:val="28"/>
          <w:szCs w:val="28"/>
        </w:rPr>
        <w:t>%</w:t>
      </w:r>
      <w:r w:rsidR="006B2F62" w:rsidRPr="009E2A33">
        <w:rPr>
          <w:rFonts w:ascii="Times New Roman" w:hAnsi="Times New Roman" w:cs="Times New Roman"/>
          <w:sz w:val="28"/>
          <w:szCs w:val="28"/>
        </w:rPr>
        <w:t xml:space="preserve">. </w:t>
      </w:r>
      <w:r w:rsidRPr="009E2A33">
        <w:rPr>
          <w:rFonts w:ascii="Times New Roman" w:hAnsi="Times New Roman" w:cs="Times New Roman"/>
          <w:sz w:val="28"/>
          <w:szCs w:val="28"/>
        </w:rPr>
        <w:t>В 2015 году и плановом периоде показатель останется на прежнем уровне.</w:t>
      </w:r>
    </w:p>
    <w:p w:rsidR="00D92085" w:rsidRPr="009E2A33" w:rsidRDefault="00D92085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Памятники архитектуры, требующие капитального ремонта или реконструкции </w:t>
      </w:r>
      <w:proofErr w:type="gram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. Кап Яр:</w:t>
      </w:r>
    </w:p>
    <w:p w:rsidR="00D92085" w:rsidRPr="009E2A33" w:rsidRDefault="00D92085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Дом купца Ф.Я. </w:t>
      </w:r>
      <w:proofErr w:type="spell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Смолякова</w:t>
      </w:r>
      <w:proofErr w:type="spell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конец XIX века (ныне здание администрации </w:t>
      </w:r>
      <w:proofErr w:type="spell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.К</w:t>
      </w:r>
      <w:proofErr w:type="gram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апустин</w:t>
      </w:r>
      <w:proofErr w:type="spell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Яр), </w:t>
      </w:r>
      <w:proofErr w:type="spell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ул.Октябрьская</w:t>
      </w:r>
      <w:proofErr w:type="spell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, 4;</w:t>
      </w:r>
    </w:p>
    <w:p w:rsidR="00D92085" w:rsidRPr="009E2A33" w:rsidRDefault="00D92085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Дом купца Шишкина конец XIX века, (ныне почта), </w:t>
      </w:r>
      <w:proofErr w:type="spell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.О</w:t>
      </w:r>
      <w:proofErr w:type="gram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ктябрьская</w:t>
      </w:r>
      <w:proofErr w:type="spell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, 2;</w:t>
      </w:r>
    </w:p>
    <w:p w:rsidR="00D92085" w:rsidRPr="009E2A33" w:rsidRDefault="00D92085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Дом купца Ткачева П.С., начало ХХ века (ныне магазин "Юбилейный"), </w:t>
      </w:r>
      <w:proofErr w:type="spell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.С</w:t>
      </w:r>
      <w:proofErr w:type="gram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оветская</w:t>
      </w:r>
      <w:proofErr w:type="spell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, 137;</w:t>
      </w:r>
    </w:p>
    <w:p w:rsidR="00745A6F" w:rsidRPr="009E2A33" w:rsidRDefault="00D92085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Сельхозбанк общества хлеборобов 1905-1906 года, ул. </w:t>
      </w:r>
      <w:proofErr w:type="gramStart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Одесская</w:t>
      </w:r>
      <w:proofErr w:type="gramEnd"/>
      <w:r w:rsidRPr="009E2A33">
        <w:rPr>
          <w:rFonts w:ascii="Times New Roman" w:hAnsi="Times New Roman" w:cs="Times New Roman"/>
          <w:sz w:val="28"/>
          <w:szCs w:val="28"/>
          <w:shd w:val="clear" w:color="auto" w:fill="FFFFFF"/>
        </w:rPr>
        <w:t>, 41.</w:t>
      </w:r>
    </w:p>
    <w:p w:rsidR="00D92085" w:rsidRPr="009E2A33" w:rsidRDefault="00D92085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33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927DCD" w:rsidRPr="009E2A33" w:rsidRDefault="00712E23" w:rsidP="00927DC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23. </w:t>
      </w:r>
      <w:r w:rsidR="00927DCD" w:rsidRPr="009E2A33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Численность </w:t>
      </w:r>
      <w:proofErr w:type="gramStart"/>
      <w:r w:rsidR="00927DCD" w:rsidRPr="009E2A33">
        <w:rPr>
          <w:rFonts w:ascii="Times New Roman" w:eastAsia="Arial" w:hAnsi="Times New Roman" w:cs="Times New Roman"/>
          <w:bCs/>
          <w:iCs/>
          <w:sz w:val="28"/>
          <w:szCs w:val="28"/>
        </w:rPr>
        <w:t xml:space="preserve">лиц, систематически занимающихся физической культурой и спортом </w:t>
      </w:r>
      <w:r w:rsidR="00927DCD" w:rsidRPr="009E2A33">
        <w:rPr>
          <w:rFonts w:ascii="Times New Roman" w:eastAsia="Arial" w:hAnsi="Times New Roman" w:cs="Times New Roman"/>
          <w:iCs/>
          <w:sz w:val="28"/>
          <w:szCs w:val="28"/>
        </w:rPr>
        <w:t>в</w:t>
      </w:r>
      <w:r w:rsidR="00927DCD" w:rsidRPr="009E2A33">
        <w:rPr>
          <w:rFonts w:ascii="Times New Roman" w:eastAsia="Arial" w:hAnsi="Times New Roman" w:cs="Times New Roman"/>
          <w:sz w:val="28"/>
          <w:szCs w:val="28"/>
        </w:rPr>
        <w:t xml:space="preserve"> 2014 году составило</w:t>
      </w:r>
      <w:proofErr w:type="gramEnd"/>
      <w:r w:rsidR="00927DCD" w:rsidRPr="009E2A33">
        <w:rPr>
          <w:rFonts w:ascii="Times New Roman" w:eastAsia="Arial" w:hAnsi="Times New Roman" w:cs="Times New Roman"/>
          <w:sz w:val="28"/>
          <w:szCs w:val="28"/>
        </w:rPr>
        <w:t xml:space="preserve"> 23114 чел., это 34,82 % от общей среднегодовой численности населения Ахтубинского района (66372</w:t>
      </w:r>
      <w:r w:rsidR="00927DCD" w:rsidRPr="009E2A33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927DCD" w:rsidRPr="009E2A33">
        <w:rPr>
          <w:rFonts w:ascii="Times New Roman" w:eastAsia="Arial" w:hAnsi="Times New Roman" w:cs="Times New Roman"/>
          <w:sz w:val="28"/>
          <w:szCs w:val="28"/>
        </w:rPr>
        <w:t>чел.). В 2015 году количество занимающихся физической культурой и спортом увеличилось до 23671 чел., что составляет 36,05%</w:t>
      </w:r>
      <w:r w:rsidR="00927DCD" w:rsidRPr="009E2A33">
        <w:rPr>
          <w:rFonts w:ascii="Times New Roman" w:eastAsia="Arial" w:hAnsi="Times New Roman" w:cs="Times New Roman"/>
          <w:color w:val="FF0000"/>
          <w:sz w:val="28"/>
          <w:szCs w:val="28"/>
        </w:rPr>
        <w:t xml:space="preserve"> </w:t>
      </w:r>
      <w:r w:rsidR="00927DCD" w:rsidRPr="009E2A33">
        <w:rPr>
          <w:rFonts w:ascii="Times New Roman" w:eastAsia="Arial" w:hAnsi="Times New Roman" w:cs="Times New Roman"/>
          <w:sz w:val="28"/>
          <w:szCs w:val="28"/>
        </w:rPr>
        <w:t>от общей среднегодовой численности населения Ахтубинского района (65662чел.).</w:t>
      </w:r>
    </w:p>
    <w:p w:rsidR="00927DCD" w:rsidRPr="009E2A33" w:rsidRDefault="00927DCD" w:rsidP="00927DC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sz w:val="28"/>
          <w:szCs w:val="28"/>
        </w:rPr>
        <w:t xml:space="preserve">По сравнению с 2014 годом, в 2015 году произошло увеличение численности занимающихся физической культурой и спортом, в связи с вводом современных спортивных объектов: мини-футбольного поля на территории МБОУ СОШ № 4, многофункциональной спортивной площадки на территории МБОУ СОШ № 11 пос. </w:t>
      </w:r>
      <w:proofErr w:type="spellStart"/>
      <w:r w:rsidRPr="009E2A33">
        <w:rPr>
          <w:rFonts w:ascii="Times New Roman" w:eastAsia="Arial" w:hAnsi="Times New Roman" w:cs="Times New Roman"/>
          <w:sz w:val="28"/>
          <w:szCs w:val="28"/>
        </w:rPr>
        <w:t>В.Баскунчак</w:t>
      </w:r>
      <w:proofErr w:type="spellEnd"/>
      <w:r w:rsidRPr="009E2A33">
        <w:rPr>
          <w:rFonts w:ascii="Times New Roman" w:eastAsia="Arial" w:hAnsi="Times New Roman" w:cs="Times New Roman"/>
          <w:sz w:val="28"/>
          <w:szCs w:val="28"/>
        </w:rPr>
        <w:t>.</w:t>
      </w:r>
    </w:p>
    <w:p w:rsidR="00927DCD" w:rsidRPr="009E2A33" w:rsidRDefault="00927DCD" w:rsidP="00927DCD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sz w:val="28"/>
          <w:szCs w:val="28"/>
        </w:rPr>
        <w:t xml:space="preserve">В 2015 году, согласно статистическим данным, </w:t>
      </w:r>
      <w:r w:rsidRPr="009E2A33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 работников муниципальных учреждений физической культуры и спорта составила 8200 рублей.</w:t>
      </w:r>
    </w:p>
    <w:p w:rsidR="00927DCD" w:rsidRPr="009E2A33" w:rsidRDefault="00927DCD" w:rsidP="00927DC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sz w:val="28"/>
          <w:szCs w:val="28"/>
        </w:rPr>
        <w:t xml:space="preserve">С 2016 по 2018 годы планируется увеличение, количества </w:t>
      </w:r>
      <w:proofErr w:type="gramStart"/>
      <w:r w:rsidRPr="009E2A33">
        <w:rPr>
          <w:rFonts w:ascii="Times New Roman" w:eastAsia="Arial" w:hAnsi="Times New Roman" w:cs="Times New Roman"/>
          <w:sz w:val="28"/>
          <w:szCs w:val="28"/>
        </w:rPr>
        <w:t>занимающихся</w:t>
      </w:r>
      <w:proofErr w:type="gramEnd"/>
      <w:r w:rsidRPr="009E2A33">
        <w:rPr>
          <w:rFonts w:ascii="Times New Roman" w:eastAsia="Arial" w:hAnsi="Times New Roman" w:cs="Times New Roman"/>
          <w:sz w:val="28"/>
          <w:szCs w:val="28"/>
        </w:rPr>
        <w:t xml:space="preserve"> физической культурой и спортом за счёт:</w:t>
      </w:r>
    </w:p>
    <w:p w:rsidR="00927DCD" w:rsidRPr="009E2A33" w:rsidRDefault="00927DCD" w:rsidP="00927DC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sz w:val="28"/>
          <w:szCs w:val="28"/>
        </w:rPr>
        <w:t>создания оптимальных условий для массового вовлечения различных слоёв населения, особенно детей и подростков, в регулярные занятия физической культурой и спортом;</w:t>
      </w:r>
    </w:p>
    <w:p w:rsidR="00927DCD" w:rsidRPr="009E2A33" w:rsidRDefault="00927DCD" w:rsidP="00927DC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sz w:val="28"/>
          <w:szCs w:val="28"/>
        </w:rPr>
        <w:t>формирования у жителей Ахтубинского района устойчивого интереса к занятиям физической культурой и спортом;</w:t>
      </w:r>
    </w:p>
    <w:p w:rsidR="00927DCD" w:rsidRPr="009E2A33" w:rsidRDefault="00927DCD" w:rsidP="00927DC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sz w:val="28"/>
          <w:szCs w:val="28"/>
        </w:rPr>
        <w:t xml:space="preserve">устройство многофункциональных спортивных площадок </w:t>
      </w:r>
      <w:proofErr w:type="gramStart"/>
      <w:r w:rsidRPr="009E2A33">
        <w:rPr>
          <w:rFonts w:ascii="Times New Roman" w:eastAsia="Arial" w:hAnsi="Times New Roman" w:cs="Times New Roman"/>
          <w:sz w:val="28"/>
          <w:szCs w:val="28"/>
        </w:rPr>
        <w:t>в</w:t>
      </w:r>
      <w:proofErr w:type="gramEnd"/>
      <w:r w:rsidRPr="009E2A33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eastAsia="Arial" w:hAnsi="Times New Roman" w:cs="Times New Roman"/>
          <w:sz w:val="28"/>
          <w:szCs w:val="28"/>
        </w:rPr>
        <w:t>Ахтубинском</w:t>
      </w:r>
      <w:proofErr w:type="gramEnd"/>
      <w:r w:rsidRPr="009E2A33">
        <w:rPr>
          <w:rFonts w:ascii="Times New Roman" w:eastAsia="Arial" w:hAnsi="Times New Roman" w:cs="Times New Roman"/>
          <w:sz w:val="28"/>
          <w:szCs w:val="28"/>
        </w:rPr>
        <w:t xml:space="preserve"> районе;</w:t>
      </w:r>
    </w:p>
    <w:p w:rsidR="00927DCD" w:rsidRPr="009E2A33" w:rsidRDefault="00927DCD" w:rsidP="00927DCD">
      <w:pPr>
        <w:numPr>
          <w:ilvl w:val="0"/>
          <w:numId w:val="4"/>
        </w:numPr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E2A33">
        <w:rPr>
          <w:rFonts w:ascii="Times New Roman" w:eastAsia="Arial" w:hAnsi="Times New Roman" w:cs="Times New Roman"/>
          <w:sz w:val="28"/>
          <w:szCs w:val="28"/>
        </w:rPr>
        <w:t>развитие сети групп по оздоровительной аэробике, для занятий со всеми возрастными категориями населения Ахтубинского района.</w:t>
      </w:r>
    </w:p>
    <w:p w:rsidR="00712E23" w:rsidRPr="009E2A33" w:rsidRDefault="00712E23" w:rsidP="00927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33">
        <w:rPr>
          <w:rFonts w:ascii="Times New Roman" w:hAnsi="Times New Roman" w:cs="Times New Roman"/>
          <w:b/>
          <w:sz w:val="28"/>
          <w:szCs w:val="28"/>
        </w:rPr>
        <w:t>Жилищное строительство и обеспечение граждан жильем</w:t>
      </w:r>
    </w:p>
    <w:p w:rsidR="00A71D61" w:rsidRPr="009E2A33" w:rsidRDefault="00A71D61" w:rsidP="00A7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24. В 2015 году, как и в 2014 году, жилье строилось только  индивидуальными застройщиками за счет собственных и заемных средств. Было введено в эксплуатацию 118 жилых домов общей площадью 15095 кв. м, что составляет 82,2 % к уровню 2014 года.</w:t>
      </w:r>
    </w:p>
    <w:p w:rsidR="00A71D61" w:rsidRPr="009E2A33" w:rsidRDefault="00A71D61" w:rsidP="00A7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>В 2015 году общая площадь жилых помещений, приходящаяся в среднем на одного жителя, составила 22,13 кв. м., в том числе введенная в действие за год - 0,23 кв. м.</w:t>
      </w:r>
    </w:p>
    <w:p w:rsidR="00A71D61" w:rsidRPr="009E2A33" w:rsidRDefault="00A71D61" w:rsidP="00A7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планируемом периоде 2016-2018 гг. ожидается рост значения показателя «Общая площадь жилых помещений, приходящаяся в среднем на одного жителя» за счет строительства на территории района многоквартирных домов для детей-сирот в рамках государственной программы «Дети Астраханской области на 2013-2017 годы» и снижения численности населения за счет миграции.</w:t>
      </w:r>
    </w:p>
    <w:p w:rsidR="00A71D61" w:rsidRPr="009E2A33" w:rsidRDefault="006B329B" w:rsidP="00A71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25. </w:t>
      </w:r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>В 2015 году</w:t>
      </w:r>
      <w:r w:rsidR="00A71D61" w:rsidRPr="009E2A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>площадь земельных участков, представленных для строительства в расчете на 10 тыс. человек населения составила 2,9</w:t>
      </w:r>
      <w:r w:rsidRPr="009E2A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 xml:space="preserve"> га, в 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- 2,8</w:t>
      </w:r>
      <w:r w:rsidRPr="009E2A33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 xml:space="preserve"> га. </w:t>
      </w:r>
      <w:proofErr w:type="gramStart"/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 xml:space="preserve">Снижение показателя </w:t>
      </w:r>
      <w:r w:rsidRPr="009E2A33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2014 годом </w:t>
      </w:r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>произошло за счет уменьшения обращений граждан и переход</w:t>
      </w:r>
      <w:r w:rsidRPr="009E2A33"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Pr="009E2A3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71D61" w:rsidRPr="009E2A33">
        <w:rPr>
          <w:rFonts w:ascii="Times New Roman" w:eastAsia="Times New Roman" w:hAnsi="Times New Roman" w:cs="Times New Roman"/>
          <w:sz w:val="28"/>
          <w:szCs w:val="28"/>
        </w:rPr>
        <w:t xml:space="preserve"> в связи с внесением изменений в Федеральный закон от 25.10.2001 № 137-ФЗ (ред. от 29.12.2014) «О введении в действие Земельного кодекса Российской Федерации» с изменениями и дополнениями, вступившими в силу с 01.03.2015)</w:t>
      </w:r>
      <w:proofErr w:type="gramEnd"/>
    </w:p>
    <w:p w:rsidR="00A71D61" w:rsidRPr="009E2A33" w:rsidRDefault="00A71D61" w:rsidP="00A71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eastAsia="Times New Roman" w:hAnsi="Times New Roman" w:cs="Times New Roman"/>
          <w:sz w:val="28"/>
          <w:szCs w:val="28"/>
        </w:rPr>
        <w:t xml:space="preserve">На 2016 - 2018 годы планируется увеличение данного показателя в связи с наличием перспективного инвестиционного проекта на территории Ахтубинского района «Завод по переработке нефтепродуктов», а так же  за счет строительства логистических центров и планированным предоставлением земельных участков для целей индивидуального жилищного строительства гражданам, имеющих трех и более детей во исполнение </w:t>
      </w:r>
      <w:hyperlink r:id="rId12" w:history="1">
        <w:r w:rsidRPr="009E2A33">
          <w:rPr>
            <w:rFonts w:ascii="Times New Roman" w:hAnsi="Times New Roman" w:cs="Times New Roman"/>
            <w:sz w:val="28"/>
            <w:szCs w:val="28"/>
          </w:rPr>
          <w:t xml:space="preserve"> статьи 3.1</w:t>
        </w:r>
      </w:hyperlink>
      <w:r w:rsidRPr="009E2A33">
        <w:rPr>
          <w:rFonts w:ascii="Times New Roman" w:hAnsi="Times New Roman" w:cs="Times New Roman"/>
          <w:sz w:val="28"/>
          <w:szCs w:val="28"/>
        </w:rPr>
        <w:t xml:space="preserve"> Закона Астраханской области от 04.03.2008 № 7/2008-ОЗ «Об отдельных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правового регулирования земельных отношений в Астраханской области» (в ред. Закона Астраханской области от 11.12.2015 № 96/2015-ОЗ).</w:t>
      </w:r>
    </w:p>
    <w:p w:rsidR="00A71D61" w:rsidRPr="009E2A33" w:rsidRDefault="00A71D61" w:rsidP="00A71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По прогнозам значения показателей составят:</w:t>
      </w:r>
      <w:r w:rsidR="004D02AF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2016г. -  4,44 га, из них под жилищное строительство,</w:t>
      </w:r>
      <w:r w:rsidRPr="009E2A33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9E2A33">
        <w:rPr>
          <w:rFonts w:ascii="Times New Roman" w:hAnsi="Times New Roman" w:cs="Times New Roman"/>
          <w:sz w:val="28"/>
          <w:szCs w:val="28"/>
        </w:rPr>
        <w:t>и комплексное освоение в целях жилищного строительства – 2,15</w:t>
      </w:r>
      <w:r w:rsidR="004D02AF" w:rsidRPr="009E2A33">
        <w:rPr>
          <w:rFonts w:ascii="Times New Roman" w:hAnsi="Times New Roman" w:cs="Times New Roman"/>
          <w:sz w:val="28"/>
          <w:szCs w:val="28"/>
        </w:rPr>
        <w:t xml:space="preserve"> га; </w:t>
      </w:r>
      <w:r w:rsidRPr="009E2A33">
        <w:rPr>
          <w:rFonts w:ascii="Times New Roman" w:hAnsi="Times New Roman" w:cs="Times New Roman"/>
          <w:sz w:val="28"/>
          <w:szCs w:val="28"/>
        </w:rPr>
        <w:t>2017 г. -  4,46 га, из них под жилищное строительство,</w:t>
      </w:r>
      <w:r w:rsidRPr="009E2A33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9E2A33">
        <w:rPr>
          <w:rFonts w:ascii="Times New Roman" w:hAnsi="Times New Roman" w:cs="Times New Roman"/>
          <w:sz w:val="28"/>
          <w:szCs w:val="28"/>
        </w:rPr>
        <w:t>и комплексное освоение в целях жилищного строительства – 2,15</w:t>
      </w:r>
      <w:r w:rsidR="004D02AF" w:rsidRPr="009E2A33">
        <w:rPr>
          <w:rFonts w:ascii="Times New Roman" w:hAnsi="Times New Roman" w:cs="Times New Roman"/>
          <w:sz w:val="28"/>
          <w:szCs w:val="28"/>
        </w:rPr>
        <w:t xml:space="preserve"> га; </w:t>
      </w:r>
      <w:r w:rsidRPr="009E2A33">
        <w:rPr>
          <w:rFonts w:ascii="Times New Roman" w:hAnsi="Times New Roman" w:cs="Times New Roman"/>
          <w:sz w:val="28"/>
          <w:szCs w:val="28"/>
        </w:rPr>
        <w:t>2018 г. -  4,5 га, из них под жилищное строительство,</w:t>
      </w:r>
      <w:r w:rsidRPr="009E2A33">
        <w:rPr>
          <w:rFonts w:ascii="Times New Roman" w:hAnsi="Times New Roman" w:cs="Times New Roman"/>
          <w:bCs/>
          <w:sz w:val="28"/>
          <w:szCs w:val="28"/>
        </w:rPr>
        <w:t xml:space="preserve"> индивидуальное строительство </w:t>
      </w:r>
      <w:r w:rsidRPr="009E2A33">
        <w:rPr>
          <w:rFonts w:ascii="Times New Roman" w:hAnsi="Times New Roman" w:cs="Times New Roman"/>
          <w:sz w:val="28"/>
          <w:szCs w:val="28"/>
        </w:rPr>
        <w:t xml:space="preserve">и комплексное освоение в целях жилищного строительства – 2,15 га. </w:t>
      </w: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26. На территории района не было земельных участков, предоставленных для строительства, в отношении которых не было получено разрешение на ввод в эксплуатацию с нарушением нормативных сроков.</w:t>
      </w:r>
    </w:p>
    <w:p w:rsidR="00712E23" w:rsidRPr="009E2A33" w:rsidRDefault="00712E23" w:rsidP="00BA3187">
      <w:pPr>
        <w:pStyle w:val="20"/>
        <w:tabs>
          <w:tab w:val="num" w:pos="720"/>
        </w:tabs>
        <w:spacing w:after="0" w:line="240" w:lineRule="auto"/>
        <w:ind w:left="0" w:firstLine="709"/>
        <w:jc w:val="both"/>
      </w:pPr>
    </w:p>
    <w:p w:rsidR="00712E23" w:rsidRPr="009E2A33" w:rsidRDefault="00712E23" w:rsidP="00BA3187">
      <w:pPr>
        <w:pStyle w:val="20"/>
        <w:tabs>
          <w:tab w:val="num" w:pos="720"/>
        </w:tabs>
        <w:spacing w:after="0" w:line="240" w:lineRule="auto"/>
        <w:ind w:left="0" w:firstLine="709"/>
        <w:jc w:val="both"/>
        <w:rPr>
          <w:b/>
        </w:rPr>
      </w:pPr>
      <w:r w:rsidRPr="009E2A33">
        <w:rPr>
          <w:b/>
        </w:rPr>
        <w:t>Жилищно-коммунальное хозяйство</w:t>
      </w:r>
    </w:p>
    <w:p w:rsidR="004D02AF" w:rsidRPr="009E2A33" w:rsidRDefault="004D02AF" w:rsidP="004D02AF">
      <w:pPr>
        <w:pStyle w:val="20"/>
        <w:spacing w:after="0" w:line="240" w:lineRule="auto"/>
        <w:ind w:left="0" w:firstLine="709"/>
        <w:jc w:val="both"/>
      </w:pPr>
      <w:r w:rsidRPr="009E2A33">
        <w:t xml:space="preserve">27. </w:t>
      </w:r>
      <w:r w:rsidRPr="009E2A33">
        <w:rPr>
          <w:bCs/>
        </w:rPr>
        <w:t>В 2015 году</w:t>
      </w:r>
      <w:r w:rsidRPr="009E2A33">
        <w:t xml:space="preserve">: общее количество многоквартирных домов (МКД) на территории Ахтубинского района составило 384 ед. Количество домов, в которых собственники помещений выбрали способ управления – 373 МКД. В результате этого доля МКД, в которых собственники помещений выбрали и </w:t>
      </w:r>
      <w:r w:rsidRPr="009E2A33">
        <w:lastRenderedPageBreak/>
        <w:t xml:space="preserve">реализуют один из способов управления МКД от общего количества МКД, составила  97,14%. </w:t>
      </w:r>
    </w:p>
    <w:p w:rsidR="004D02AF" w:rsidRPr="009E2A33" w:rsidRDefault="004D02AF" w:rsidP="004D02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2A33">
        <w:rPr>
          <w:rFonts w:ascii="Times New Roman" w:hAnsi="Times New Roman" w:cs="Times New Roman"/>
          <w:bCs/>
          <w:sz w:val="28"/>
          <w:szCs w:val="28"/>
        </w:rPr>
        <w:t>На 2016 – 2018 годы</w:t>
      </w:r>
      <w:proofErr w:type="gramStart"/>
      <w:r w:rsidRPr="009E2A3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E2A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E2A3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9E2A33">
        <w:rPr>
          <w:rFonts w:ascii="Times New Roman" w:hAnsi="Times New Roman" w:cs="Times New Roman"/>
          <w:bCs/>
          <w:sz w:val="28"/>
          <w:szCs w:val="28"/>
        </w:rPr>
        <w:t>апланировано, что собственники всех жилых помещений выберут одну из форм управления - 100 %.</w:t>
      </w:r>
    </w:p>
    <w:p w:rsidR="004D02AF" w:rsidRPr="009E2A33" w:rsidRDefault="004D02AF" w:rsidP="004D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28. В 2015 году  из 10 организаций коммунального комплекса частной формы собственности были 6 (ЗАО «Газпром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Астрахань», ОАО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Астраханьоблгаз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», ООО «ГЭС Поволжье»,  ООО «НОВАТЭК – АЗК", ОАО «Астраханская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компания», ООО УК «Центр»), или 60% предприятий. Муниципальные и государственные предприятия: ГП АО «Астраханские водопроводы», МУП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Капьярвод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», МУП ЖКХ МО «Поселок Верхний Баскунчак», МУП ЖКХ МО «Поселок Нижний Баскунчак». Снижение показателя по сравнению с 2014 годом (72.73 %)произошло по причине того, что оказание услуг по теплоснабжению и горячему водоснабжению от предприятия частной формы собственност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«ОМИ Групп», в связи с окончанием срока аренды имущества, администрацией МО «Поселок Верхний Баскунчак» было передано вновь созданному МУП ЖКХ МО «Поселок Нижний Баскунчак». Еще одно предприятие частной формы собственности - ООО «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Теплосфера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», в связи с отсутствием лицензии приостановило оказание услуги по утилизации (захоронению) твердых бытовых отходов на территории МО «Поселок Верхний Баскунчак». </w:t>
      </w:r>
    </w:p>
    <w:p w:rsidR="00625F22" w:rsidRPr="009E2A33" w:rsidRDefault="004D02AF" w:rsidP="004D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2016 году показатель ожидается на прежнем уровне – 60 %.</w:t>
      </w:r>
    </w:p>
    <w:p w:rsidR="00625F22" w:rsidRPr="009E2A33" w:rsidRDefault="004D02AF" w:rsidP="004D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На 2017 – 2018 года запланировано, что все предприятия коммунального комплекса на территории района будут  частной формы собственности.</w:t>
      </w:r>
    </w:p>
    <w:p w:rsidR="00625F22" w:rsidRPr="009E2A33" w:rsidRDefault="004D02AF" w:rsidP="0062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</w:t>
      </w:r>
      <w:r w:rsidR="00625F22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в 2015 году</w:t>
      </w:r>
      <w:r w:rsidR="00625F22" w:rsidRPr="009E2A33">
        <w:rPr>
          <w:rFonts w:ascii="Times New Roman" w:hAnsi="Times New Roman" w:cs="Times New Roman"/>
          <w:sz w:val="28"/>
          <w:szCs w:val="28"/>
        </w:rPr>
        <w:t>,</w:t>
      </w:r>
      <w:r w:rsidRPr="009E2A33">
        <w:rPr>
          <w:rFonts w:ascii="Times New Roman" w:hAnsi="Times New Roman" w:cs="Times New Roman"/>
          <w:sz w:val="28"/>
          <w:szCs w:val="28"/>
        </w:rPr>
        <w:t xml:space="preserve"> по информации, предоставленной Федеральной кадастровой палатой по Астраханской области</w:t>
      </w:r>
      <w:r w:rsidR="00625F22" w:rsidRPr="009E2A33">
        <w:rPr>
          <w:rFonts w:ascii="Times New Roman" w:hAnsi="Times New Roman" w:cs="Times New Roman"/>
          <w:sz w:val="28"/>
          <w:szCs w:val="28"/>
        </w:rPr>
        <w:t xml:space="preserve">, </w:t>
      </w:r>
      <w:r w:rsidRPr="009E2A33">
        <w:rPr>
          <w:rFonts w:ascii="Times New Roman" w:hAnsi="Times New Roman" w:cs="Times New Roman"/>
          <w:sz w:val="28"/>
          <w:szCs w:val="28"/>
        </w:rPr>
        <w:t>20 %</w:t>
      </w:r>
      <w:r w:rsidR="00625F22" w:rsidRPr="009E2A33">
        <w:rPr>
          <w:rFonts w:ascii="Times New Roman" w:hAnsi="Times New Roman" w:cs="Times New Roman"/>
          <w:sz w:val="28"/>
          <w:szCs w:val="28"/>
        </w:rPr>
        <w:t>.</w:t>
      </w:r>
    </w:p>
    <w:p w:rsidR="004D02AF" w:rsidRPr="009E2A33" w:rsidRDefault="004D02AF" w:rsidP="0062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Увеличение количества многоквартирных домов </w:t>
      </w:r>
      <w:r w:rsidR="00625F22" w:rsidRPr="009E2A33">
        <w:rPr>
          <w:rFonts w:ascii="Times New Roman" w:hAnsi="Times New Roman" w:cs="Times New Roman"/>
          <w:sz w:val="28"/>
          <w:szCs w:val="28"/>
        </w:rPr>
        <w:t xml:space="preserve">расположенных на земельных участках, в отношении которых осуществлен государственный кадастровый учет, </w:t>
      </w:r>
      <w:r w:rsidRPr="009E2A33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625F22" w:rsidRPr="009E2A33">
        <w:rPr>
          <w:rFonts w:ascii="Times New Roman" w:hAnsi="Times New Roman" w:cs="Times New Roman"/>
          <w:sz w:val="28"/>
          <w:szCs w:val="28"/>
        </w:rPr>
        <w:t>в результате</w:t>
      </w:r>
      <w:r w:rsidRPr="009E2A33">
        <w:rPr>
          <w:rFonts w:ascii="Times New Roman" w:hAnsi="Times New Roman" w:cs="Times New Roman"/>
          <w:sz w:val="28"/>
          <w:szCs w:val="28"/>
        </w:rPr>
        <w:t xml:space="preserve"> проведения инвентаризации домов блокированной застройки.</w:t>
      </w:r>
    </w:p>
    <w:p w:rsidR="00625F22" w:rsidRPr="009E2A33" w:rsidRDefault="00625F22" w:rsidP="0062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связи с тем, что формирование и постановка на государственный кадастровый учет земельных участков носит заявительный характер, для достижения планируемых результатов продолжится работа по информированию населения о необходимости оформления документов. </w:t>
      </w:r>
    </w:p>
    <w:p w:rsidR="004D02AF" w:rsidRPr="009E2A33" w:rsidRDefault="004D02AF" w:rsidP="004D0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Планируется</w:t>
      </w:r>
      <w:r w:rsidR="00625F22" w:rsidRPr="009E2A33">
        <w:rPr>
          <w:rFonts w:ascii="Times New Roman" w:hAnsi="Times New Roman" w:cs="Times New Roman"/>
          <w:sz w:val="28"/>
          <w:szCs w:val="28"/>
        </w:rPr>
        <w:t xml:space="preserve"> к 2018 году довести данный показатель до 40,0%.</w:t>
      </w:r>
    </w:p>
    <w:p w:rsidR="00625F22" w:rsidRPr="009E2A33" w:rsidRDefault="00712E23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30.</w:t>
      </w:r>
      <w:r w:rsidRPr="009E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F22" w:rsidRPr="009E2A33">
        <w:rPr>
          <w:rFonts w:ascii="Times New Roman" w:hAnsi="Times New Roman" w:cs="Times New Roman"/>
          <w:sz w:val="28"/>
          <w:szCs w:val="28"/>
        </w:rPr>
        <w:t>В 2014 году состояло на учете в качестве нуждающихся на улучшение жилищных условий 1111 человек. Улучшили жилищные условия 40 человек или 3,6%.</w:t>
      </w:r>
    </w:p>
    <w:p w:rsidR="00625F22" w:rsidRPr="009E2A33" w:rsidRDefault="00625F22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2015 году состояло на учете в качестве нуждающихся на улучшение жилищных условий по МО «Ахтубинский район» (без учета данных по МО «Город Ахтубинск») 371 человек. Улучшили жилищные условия 17 человек или 4,58 %.</w:t>
      </w:r>
    </w:p>
    <w:p w:rsidR="00625F22" w:rsidRPr="009E2A33" w:rsidRDefault="00625F22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подпрограммы «Обеспечение жильем молодых семей» федеральной целевой программы «Жилище» на </w:t>
      </w:r>
      <w:r w:rsidR="00ED1161" w:rsidRPr="009E2A33">
        <w:rPr>
          <w:rFonts w:ascii="Times New Roman" w:hAnsi="Times New Roman" w:cs="Times New Roman"/>
          <w:sz w:val="28"/>
          <w:szCs w:val="28"/>
        </w:rPr>
        <w:t xml:space="preserve">2011-2015 годы» приобрели жилье в </w:t>
      </w:r>
      <w:r w:rsidRPr="009E2A33">
        <w:rPr>
          <w:rFonts w:ascii="Times New Roman" w:hAnsi="Times New Roman" w:cs="Times New Roman"/>
          <w:sz w:val="28"/>
          <w:szCs w:val="28"/>
        </w:rPr>
        <w:t>2014 год</w:t>
      </w:r>
      <w:r w:rsidR="00ED1161" w:rsidRPr="009E2A33">
        <w:rPr>
          <w:rFonts w:ascii="Times New Roman" w:hAnsi="Times New Roman" w:cs="Times New Roman"/>
          <w:sz w:val="28"/>
          <w:szCs w:val="28"/>
        </w:rPr>
        <w:t>у</w:t>
      </w:r>
      <w:r w:rsidRPr="009E2A33">
        <w:rPr>
          <w:rFonts w:ascii="Times New Roman" w:hAnsi="Times New Roman" w:cs="Times New Roman"/>
          <w:sz w:val="28"/>
          <w:szCs w:val="28"/>
        </w:rPr>
        <w:t xml:space="preserve"> – </w:t>
      </w:r>
      <w:r w:rsidR="00ED1161" w:rsidRPr="009E2A33">
        <w:rPr>
          <w:rFonts w:ascii="Times New Roman" w:hAnsi="Times New Roman" w:cs="Times New Roman"/>
          <w:sz w:val="28"/>
          <w:szCs w:val="28"/>
        </w:rPr>
        <w:t>8</w:t>
      </w:r>
      <w:r w:rsidRPr="009E2A33">
        <w:rPr>
          <w:rFonts w:ascii="Times New Roman" w:hAnsi="Times New Roman" w:cs="Times New Roman"/>
          <w:sz w:val="28"/>
          <w:szCs w:val="28"/>
        </w:rPr>
        <w:t xml:space="preserve"> молодых семей;</w:t>
      </w:r>
      <w:r w:rsidR="00ED1161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2015 год</w:t>
      </w:r>
      <w:r w:rsidR="00ED1161" w:rsidRPr="009E2A33">
        <w:rPr>
          <w:rFonts w:ascii="Times New Roman" w:hAnsi="Times New Roman" w:cs="Times New Roman"/>
          <w:sz w:val="28"/>
          <w:szCs w:val="28"/>
        </w:rPr>
        <w:t>у</w:t>
      </w:r>
      <w:r w:rsidRPr="009E2A33">
        <w:rPr>
          <w:rFonts w:ascii="Times New Roman" w:hAnsi="Times New Roman" w:cs="Times New Roman"/>
          <w:sz w:val="28"/>
          <w:szCs w:val="28"/>
        </w:rPr>
        <w:t xml:space="preserve"> – </w:t>
      </w:r>
      <w:r w:rsidR="00ED1161" w:rsidRPr="009E2A33">
        <w:rPr>
          <w:rFonts w:ascii="Times New Roman" w:hAnsi="Times New Roman" w:cs="Times New Roman"/>
          <w:sz w:val="28"/>
          <w:szCs w:val="28"/>
        </w:rPr>
        <w:t>3</w:t>
      </w:r>
      <w:r w:rsidRPr="009E2A33">
        <w:rPr>
          <w:rFonts w:ascii="Times New Roman" w:hAnsi="Times New Roman" w:cs="Times New Roman"/>
          <w:sz w:val="28"/>
          <w:szCs w:val="28"/>
        </w:rPr>
        <w:t xml:space="preserve"> молодых сем</w:t>
      </w:r>
      <w:r w:rsidR="00ED1161" w:rsidRPr="009E2A33">
        <w:rPr>
          <w:rFonts w:ascii="Times New Roman" w:hAnsi="Times New Roman" w:cs="Times New Roman"/>
          <w:sz w:val="28"/>
          <w:szCs w:val="28"/>
        </w:rPr>
        <w:t>ьи</w:t>
      </w:r>
      <w:r w:rsidRPr="009E2A33">
        <w:rPr>
          <w:rFonts w:ascii="Times New Roman" w:hAnsi="Times New Roman" w:cs="Times New Roman"/>
          <w:sz w:val="28"/>
          <w:szCs w:val="28"/>
        </w:rPr>
        <w:t>.</w:t>
      </w:r>
    </w:p>
    <w:p w:rsidR="00625F22" w:rsidRPr="009E2A33" w:rsidRDefault="00625F22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рамках Федерального закона  от 12.01.1995 № 5-ФЗ «О ветеранах»:</w:t>
      </w:r>
      <w:r w:rsidR="00ED1161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 xml:space="preserve">2014 год – </w:t>
      </w:r>
      <w:r w:rsidR="00ED1161" w:rsidRPr="009E2A33">
        <w:rPr>
          <w:rFonts w:ascii="Times New Roman" w:hAnsi="Times New Roman" w:cs="Times New Roman"/>
          <w:sz w:val="28"/>
          <w:szCs w:val="28"/>
        </w:rPr>
        <w:t xml:space="preserve">1 человек; </w:t>
      </w:r>
      <w:r w:rsidRPr="009E2A33">
        <w:rPr>
          <w:rFonts w:ascii="Times New Roman" w:hAnsi="Times New Roman" w:cs="Times New Roman"/>
          <w:sz w:val="28"/>
          <w:szCs w:val="28"/>
        </w:rPr>
        <w:t>2015 год – 1 человек.</w:t>
      </w:r>
    </w:p>
    <w:p w:rsidR="00625F22" w:rsidRPr="009E2A33" w:rsidRDefault="00625F22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рамках ФЦП «Устойчивое развитие сельских территорий Астраханской области на 2014-2017 годы и на период до 2020 года»:</w:t>
      </w:r>
      <w:r w:rsidR="005E6189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2014 год – 8 человек;</w:t>
      </w:r>
      <w:r w:rsidR="005E6189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2015 год – 16 человек.</w:t>
      </w:r>
    </w:p>
    <w:p w:rsidR="00625F22" w:rsidRPr="009E2A33" w:rsidRDefault="00625F22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2016 прогнозируется количество нуждающихся в жилых помещениях (без учета МО «Город Ахтубинск») 380 человек. Планируется обеспечить жильем 18 человек. </w:t>
      </w:r>
    </w:p>
    <w:p w:rsidR="00625F22" w:rsidRPr="009E2A33" w:rsidRDefault="00625F22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2017 прогнозируется количество нуждающихся в жилых помещениях 390 человек. Планируется обеспечить жильем 19 человек. </w:t>
      </w:r>
    </w:p>
    <w:p w:rsidR="00625F22" w:rsidRPr="009E2A33" w:rsidRDefault="00625F22" w:rsidP="00625F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2018 прогнозируется количество нуждающихся в жилых помещениях 399 человек. Планируется обеспечить жильем 21 человека.</w:t>
      </w:r>
    </w:p>
    <w:p w:rsidR="00712E23" w:rsidRPr="009E2A33" w:rsidRDefault="00712E23" w:rsidP="00625F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33">
        <w:rPr>
          <w:rFonts w:ascii="Times New Roman" w:hAnsi="Times New Roman" w:cs="Times New Roman"/>
          <w:b/>
          <w:sz w:val="28"/>
          <w:szCs w:val="28"/>
        </w:rPr>
        <w:t>Организация муниципального управления</w:t>
      </w:r>
    </w:p>
    <w:p w:rsidR="00DC493B" w:rsidRPr="009E2A33" w:rsidRDefault="00712E23" w:rsidP="00BA3187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31. </w:t>
      </w:r>
      <w:r w:rsidR="001B1C14" w:rsidRPr="009E2A33">
        <w:rPr>
          <w:rFonts w:ascii="Times New Roman" w:hAnsi="Times New Roman" w:cs="Times New Roman"/>
          <w:sz w:val="28"/>
          <w:szCs w:val="28"/>
        </w:rPr>
        <w:t>Д</w:t>
      </w:r>
      <w:r w:rsidR="00DC493B" w:rsidRPr="009E2A33">
        <w:rPr>
          <w:rFonts w:ascii="Times New Roman" w:hAnsi="Times New Roman" w:cs="Times New Roman"/>
          <w:sz w:val="28"/>
          <w:szCs w:val="28"/>
        </w:rPr>
        <w:t>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  составила 50,59%.</w:t>
      </w:r>
    </w:p>
    <w:p w:rsidR="00DC493B" w:rsidRPr="009E2A33" w:rsidRDefault="005E6189" w:rsidP="005E618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</w:t>
      </w:r>
      <w:r w:rsidR="00DC493B" w:rsidRPr="009E2A33">
        <w:rPr>
          <w:rFonts w:ascii="Times New Roman" w:hAnsi="Times New Roman" w:cs="Times New Roman"/>
          <w:sz w:val="28"/>
          <w:szCs w:val="28"/>
        </w:rPr>
        <w:t>аблюдается рост доходов консолидированного бюджета за 2015 год в сумме 453017,3 тыс. руб. к поступлениям 2014 года – 441306,0 тыс. руб. по следующим видам налогов:</w:t>
      </w:r>
    </w:p>
    <w:p w:rsidR="00DC493B" w:rsidRPr="009E2A33" w:rsidRDefault="00DC493B" w:rsidP="00BA3187">
      <w:pPr>
        <w:pStyle w:val="msonospacing0"/>
        <w:ind w:firstLine="709"/>
        <w:jc w:val="both"/>
        <w:rPr>
          <w:rFonts w:cs="Times New Roman"/>
          <w:color w:val="000000"/>
          <w:sz w:val="28"/>
          <w:szCs w:val="28"/>
        </w:rPr>
      </w:pPr>
      <w:proofErr w:type="gramStart"/>
      <w:r w:rsidRPr="009E2A33">
        <w:rPr>
          <w:rFonts w:cs="Times New Roman"/>
          <w:sz w:val="28"/>
          <w:szCs w:val="28"/>
        </w:rPr>
        <w:t>- по налогу на доходы физических лиц за 2015 год поступило 305563,1  тыс. руб. или 105,6% к поступлению 2014 года (289248,8 тыс. руб.) вследствие изменения налогового законодательства по НДФЛ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ст.227.1 НК РФ</w:t>
      </w:r>
      <w:r w:rsidRPr="009E2A33">
        <w:rPr>
          <w:rFonts w:cs="Times New Roman"/>
          <w:color w:val="000000"/>
          <w:sz w:val="28"/>
          <w:szCs w:val="28"/>
        </w:rPr>
        <w:t>;</w:t>
      </w:r>
      <w:proofErr w:type="gramEnd"/>
    </w:p>
    <w:p w:rsidR="00DC493B" w:rsidRPr="009E2A33" w:rsidRDefault="00DC493B" w:rsidP="00BA3187">
      <w:pPr>
        <w:pStyle w:val="msonospacing0"/>
        <w:ind w:firstLine="709"/>
        <w:jc w:val="both"/>
        <w:rPr>
          <w:rFonts w:cs="Times New Roman"/>
          <w:sz w:val="28"/>
          <w:szCs w:val="28"/>
        </w:rPr>
      </w:pPr>
      <w:r w:rsidRPr="009E2A33">
        <w:rPr>
          <w:rFonts w:cs="Times New Roman"/>
          <w:sz w:val="28"/>
          <w:szCs w:val="28"/>
        </w:rPr>
        <w:t xml:space="preserve">- по налогам по подакцизным товарам за 2015 год поступило 13961,1 </w:t>
      </w:r>
      <w:proofErr w:type="spellStart"/>
      <w:r w:rsidRPr="009E2A33">
        <w:rPr>
          <w:rFonts w:cs="Times New Roman"/>
          <w:sz w:val="28"/>
          <w:szCs w:val="28"/>
        </w:rPr>
        <w:t>тыс</w:t>
      </w:r>
      <w:proofErr w:type="gramStart"/>
      <w:r w:rsidRPr="009E2A33">
        <w:rPr>
          <w:rFonts w:cs="Times New Roman"/>
          <w:sz w:val="28"/>
          <w:szCs w:val="28"/>
        </w:rPr>
        <w:t>.р</w:t>
      </w:r>
      <w:proofErr w:type="gramEnd"/>
      <w:r w:rsidRPr="009E2A33">
        <w:rPr>
          <w:rFonts w:cs="Times New Roman"/>
          <w:sz w:val="28"/>
          <w:szCs w:val="28"/>
        </w:rPr>
        <w:t>уб</w:t>
      </w:r>
      <w:proofErr w:type="spellEnd"/>
      <w:r w:rsidRPr="009E2A33">
        <w:rPr>
          <w:rFonts w:cs="Times New Roman"/>
          <w:sz w:val="28"/>
          <w:szCs w:val="28"/>
        </w:rPr>
        <w:t xml:space="preserve">. или 128,4% к прошлому году (10877,0 </w:t>
      </w:r>
      <w:proofErr w:type="spellStart"/>
      <w:r w:rsidRPr="009E2A33">
        <w:rPr>
          <w:rFonts w:cs="Times New Roman"/>
          <w:sz w:val="28"/>
          <w:szCs w:val="28"/>
        </w:rPr>
        <w:t>тыс.руб</w:t>
      </w:r>
      <w:proofErr w:type="spellEnd"/>
      <w:r w:rsidRPr="009E2A33">
        <w:rPr>
          <w:rFonts w:cs="Times New Roman"/>
          <w:sz w:val="28"/>
          <w:szCs w:val="28"/>
        </w:rPr>
        <w:t>.);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по налогам на совокупный доход за 2015 год поступило 50353,5 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. или 111,7% к прошлому году (45073,6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.) вследствие увеличения </w:t>
      </w:r>
      <w:r w:rsidRPr="009E2A33">
        <w:rPr>
          <w:rFonts w:ascii="Times New Roman" w:eastAsia="Calibri" w:hAnsi="Times New Roman" w:cs="Times New Roman"/>
          <w:sz w:val="28"/>
          <w:szCs w:val="28"/>
        </w:rPr>
        <w:t>корректирующего коэффициента базовой доходности при применении ЕНВД;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по группе «налоги на имущество» поступление за 2015 год составило 24986,1 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 или 106,7% к прошлому году (23423,4 тыс. руб.) в результате изменения налогового законодательства по налогу на имущество физических лиц;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по государственной пошлине поступление за 2015 год составило 8522,0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. или 133,2 % к прошлому году (6396,4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.) за счет увеличения размеров государственной пошлины;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>- по платежам при пользовании природными ресурсами за 2015 год поступило 1175,1  или 108,2%  к прошлому году (1086,2 тыс. руб.);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по штрафам, санкциям и возмещению ущерба поступило за 2015 год 6544,4 тыс. руб. или 127,1 % к прошлому году (5150,0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.);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по прочим неналоговым доходам поступление за 2015 год составило 822,7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. или 132,9 % к прошлому году (619,2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.).</w:t>
      </w:r>
    </w:p>
    <w:p w:rsidR="00DC493B" w:rsidRPr="009E2A33" w:rsidRDefault="005E6189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</w:t>
      </w:r>
      <w:r w:rsidR="00DC493B" w:rsidRPr="009E2A33">
        <w:rPr>
          <w:rFonts w:ascii="Times New Roman" w:hAnsi="Times New Roman" w:cs="Times New Roman"/>
          <w:sz w:val="28"/>
          <w:szCs w:val="28"/>
        </w:rPr>
        <w:t>аблюдается снижение поступления собственных доходов в консолидированный бюджет за 2015 год к поступлениям 2014 года: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по доходам от использования имущества за 2015 год поступило 29883,1 тыс. руб. или 70,8% к прошлому году (42203,8  тыс. руб.), в основном за счет снижения поступления доходов получаемых в виде арендной платы за земельные участки;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по доходам от продажи материальных активов за 2015 год поступило 10836,1 тыс. руб. или 72,3%  к прошлому году (14978,4  тыс. руб.) вследствие отсутствия покупателей на имущество, выставляемое на аукционы муниципальными образованиями;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за счет сокращения безвозмездных поступлений от других бюджетов бюджетной системы РФ.</w:t>
      </w:r>
    </w:p>
    <w:p w:rsidR="00255636" w:rsidRPr="009E2A33" w:rsidRDefault="00712E23" w:rsidP="00BA318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32. </w:t>
      </w:r>
      <w:r w:rsidR="00255636" w:rsidRPr="009E2A33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2014-2015 годах </w:t>
      </w:r>
      <w:r w:rsidR="00255636" w:rsidRPr="009E2A33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255636" w:rsidRPr="009E2A33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ешения о признании муниципальных предприятий банкротами не принимались. Предпосылки для принятия таких решений в 2016-2018 годах в настоящее время отсутствуют.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Администрацией МО «Ахтубинский район» в целях недопущения банкротства 10 муниципальных предприятий реализуются мероприятия по следующим основным направлениям: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1. Осуществление мониторинга финансового состояния предприятия с целью раннего обнаружения признаков его кризисного развития;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2. Реорганизационные мероприятия (в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 присоединение либо слияние с платежеспособной компанией; выделение в отдельное юридическое лицо с целью ликвидации убыточного производства).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3. Структурная перестройка производства, в рамках которой возможны продажа какого-либо имущества должника, закрытие неперспективных производств, перепрофилирование деятельности.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4. Усовершенствование системы управления предприятием-должником, в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 за счет смены либо повышения квалификации/переподготовки руководителей структурных подразделений, изменения в подходе к подбору кадров и т.д.</w:t>
      </w:r>
    </w:p>
    <w:p w:rsidR="00255636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33. </w:t>
      </w:r>
      <w:r w:rsidR="00255636" w:rsidRPr="009E2A33">
        <w:rPr>
          <w:rFonts w:ascii="Times New Roman" w:hAnsi="Times New Roman" w:cs="Times New Roman"/>
          <w:sz w:val="28"/>
          <w:szCs w:val="28"/>
        </w:rPr>
        <w:t>В 2012 - 2015 годах объема незавершенного в установленные сроки строительства осуществляемого за счет средств бюджета муниципального образования «Ахтубинский район» не было и до 2018 года этот показатель не планируется.</w:t>
      </w:r>
    </w:p>
    <w:p w:rsidR="00DC493B" w:rsidRPr="009E2A33" w:rsidRDefault="00712E23" w:rsidP="00BA318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34. </w:t>
      </w:r>
      <w:r w:rsidR="005E6189" w:rsidRPr="009E2A33">
        <w:rPr>
          <w:rFonts w:ascii="Times New Roman" w:hAnsi="Times New Roman" w:cs="Times New Roman"/>
          <w:sz w:val="28"/>
          <w:szCs w:val="28"/>
        </w:rPr>
        <w:t>Д</w:t>
      </w:r>
      <w:r w:rsidR="00DC493B" w:rsidRPr="009E2A33">
        <w:rPr>
          <w:rFonts w:ascii="Times New Roman" w:hAnsi="Times New Roman" w:cs="Times New Roman"/>
          <w:sz w:val="28"/>
          <w:szCs w:val="28"/>
        </w:rPr>
        <w:t>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2015 году составила 0,16%.</w:t>
      </w:r>
    </w:p>
    <w:p w:rsidR="00DC493B" w:rsidRPr="009E2A33" w:rsidRDefault="00DC493B" w:rsidP="00BA318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Величина просроченной кредиторской задолженности по оплате труда </w:t>
      </w:r>
      <w:r w:rsidRPr="009E2A33">
        <w:rPr>
          <w:rFonts w:ascii="Times New Roman" w:hAnsi="Times New Roman" w:cs="Times New Roman"/>
          <w:sz w:val="28"/>
          <w:szCs w:val="28"/>
        </w:rPr>
        <w:lastRenderedPageBreak/>
        <w:t xml:space="preserve">(включая начисления на оплату труда) муниципальных учреждений в 2015 году составила 1 170,89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>., возникновение указанной задолженности связано с сокращением поступлений налоговых и неналоговых доходов в бюджеты сельских поселений.</w:t>
      </w:r>
    </w:p>
    <w:p w:rsidR="00DC493B" w:rsidRPr="009E2A33" w:rsidRDefault="00DC493B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 «Ахтубинский район» от 29.12.2015 № 156 «О бюджете муниципального образования «Ахтубинский район» на 2016 год» сельским поселениям Ахтубинского района в рамках муниципальной программы «Повышение эффективности управления муниципальными финансами на 2015-2018 годы» предусмотрена финансовая помощь в виде иного межбюджетного трансферта на осуществление части полномочий по решению вопросов местного значения, которая также будет направлена на погашение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сложившейся кредиторской задолженности. Кроме того, главами муниципальных образований сельских поселений, имеющих кредиторскую задолженность по оплате труда, проводится работа по оптимизации расходов на содержание органов местного самоуправления в пределах доходной базы бюджетов муниципальных образований.</w:t>
      </w:r>
    </w:p>
    <w:p w:rsidR="00DC493B" w:rsidRPr="009E2A33" w:rsidRDefault="00DC493B" w:rsidP="00BA3187">
      <w:pPr>
        <w:pStyle w:val="ConsPlusNormal"/>
        <w:ind w:firstLine="709"/>
        <w:jc w:val="both"/>
      </w:pPr>
      <w:r w:rsidRPr="009E2A33">
        <w:t>Общий объем расходов муниципального образования по оплате труда (включая начисления на оплату труда) муниципальных учреждений - в 2015 году увеличил</w:t>
      </w:r>
      <w:r w:rsidR="00081C17" w:rsidRPr="009E2A33">
        <w:t>ся</w:t>
      </w:r>
      <w:r w:rsidRPr="009E2A33">
        <w:t xml:space="preserve"> </w:t>
      </w:r>
      <w:r w:rsidR="00081C17" w:rsidRPr="009E2A33">
        <w:t>по</w:t>
      </w:r>
      <w:r w:rsidRPr="009E2A33">
        <w:t xml:space="preserve"> сравнени</w:t>
      </w:r>
      <w:r w:rsidR="00081C17" w:rsidRPr="009E2A33">
        <w:t>ю</w:t>
      </w:r>
      <w:r w:rsidRPr="009E2A33">
        <w:t xml:space="preserve"> с 2014 годом на 42 643,19 </w:t>
      </w:r>
      <w:proofErr w:type="spellStart"/>
      <w:r w:rsidRPr="009E2A33">
        <w:t>тыс</w:t>
      </w:r>
      <w:proofErr w:type="gramStart"/>
      <w:r w:rsidRPr="009E2A33">
        <w:t>.р</w:t>
      </w:r>
      <w:proofErr w:type="gramEnd"/>
      <w:r w:rsidRPr="009E2A33">
        <w:t>уб</w:t>
      </w:r>
      <w:proofErr w:type="spellEnd"/>
      <w:r w:rsidRPr="009E2A33">
        <w:t>. и сложил</w:t>
      </w:r>
      <w:r w:rsidR="00081C17" w:rsidRPr="009E2A33">
        <w:t>ся</w:t>
      </w:r>
      <w:r w:rsidRPr="009E2A33">
        <w:t xml:space="preserve"> в сумме 732 700,27 </w:t>
      </w:r>
      <w:proofErr w:type="spellStart"/>
      <w:r w:rsidRPr="009E2A33">
        <w:t>тыс.руб</w:t>
      </w:r>
      <w:proofErr w:type="spellEnd"/>
      <w:r w:rsidRPr="009E2A33">
        <w:t>., что связано с реализацией Указа Президента РФ от 07.05.2012 N 597 "О мероприятиях по реализации государственной социальной политики", увеличением должностного оклада специалиста 2 категории с 01.01.2015, изменением в 2015 году ежемесячного денежного вознаграждения лиц, замещающих муниципальные должности, увеличение МРОТ, согласно федеральному законодательству.</w:t>
      </w:r>
    </w:p>
    <w:p w:rsidR="00DC493B" w:rsidRPr="009E2A33" w:rsidRDefault="00712E23" w:rsidP="00BA318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35. </w:t>
      </w:r>
      <w:r w:rsidR="00081C17" w:rsidRPr="009E2A33">
        <w:rPr>
          <w:rFonts w:ascii="Times New Roman" w:hAnsi="Times New Roman" w:cs="Times New Roman"/>
          <w:sz w:val="28"/>
          <w:szCs w:val="28"/>
        </w:rPr>
        <w:t>И</w:t>
      </w:r>
      <w:r w:rsidR="00DC493B" w:rsidRPr="009E2A33">
        <w:rPr>
          <w:rFonts w:ascii="Times New Roman" w:hAnsi="Times New Roman" w:cs="Times New Roman"/>
          <w:sz w:val="28"/>
          <w:szCs w:val="28"/>
        </w:rPr>
        <w:t>зменение расходов на 1 жителя в сторону увеличения связано с уменьшением среднегодовой численности жителей Ахтубинского района</w:t>
      </w:r>
      <w:r w:rsidR="00DC493B" w:rsidRPr="009E2A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93B" w:rsidRPr="009E2A33" w:rsidRDefault="00081C17" w:rsidP="00BA3187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Р</w:t>
      </w:r>
      <w:r w:rsidR="00DC493B" w:rsidRPr="009E2A33">
        <w:rPr>
          <w:rFonts w:ascii="Times New Roman" w:hAnsi="Times New Roman" w:cs="Times New Roman"/>
          <w:sz w:val="28"/>
          <w:szCs w:val="28"/>
        </w:rPr>
        <w:t>асходы на содержание работников органов местного самоуправления за 2015 год увеличились в сравнении с 2014 годом на 7 919,96 тыс. руб. и составили 91 742,23 тыс. руб.</w:t>
      </w:r>
    </w:p>
    <w:p w:rsidR="00DC493B" w:rsidRPr="009E2A33" w:rsidRDefault="00DC493B" w:rsidP="00BA318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>Расходы на содержание работников органов местного самоуправления определены в соответствии с постановлением правительства АО от 03.09.07 № 370-П «О максимальных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Астраханской области», распоряжением Правительства АО от 01.11.07 № 657-Пр «О предельных нормативах размеров оплаты труда лиц, замещающих муниципальные должности Астраханской области», распоряжением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Правительства АО от 30.12.2008 № 606-Пр «О предельных нормативах размеров оплаты труда, замещающих должности муниципальной службы Астраханской области»,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Совета МО «Ахтубинский район» от 27.12.2007 №101 «Об утверждении Положения об оплате труда лиц, замещающих муниципальные должности муниципального образования «Ахтубинский район», решением Совета МО «Ахтубинский район» от </w:t>
      </w:r>
      <w:r w:rsidRPr="009E2A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27.12.2007 №102 «Об утверждении Положения о системе и условиях оплаты труда лиц, замещающих должности муниципальной</w:t>
      </w:r>
      <w:proofErr w:type="gramEnd"/>
      <w:r w:rsidRPr="009E2A33">
        <w:rPr>
          <w:rFonts w:ascii="Times New Roman" w:hAnsi="Times New Roman" w:cs="Times New Roman"/>
          <w:sz w:val="28"/>
          <w:szCs w:val="28"/>
          <w:lang w:eastAsia="ru-RU"/>
        </w:rPr>
        <w:t xml:space="preserve"> службы в муниципальном образовании «Ахтубинский район», постановлением администрации МО «Ахтубинский район» от 01.10.2015 №1167 «Об утверждении Порядка оплаты труда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МО «Ахтубинский район».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E23" w:rsidRPr="009E2A33" w:rsidRDefault="00712E23" w:rsidP="00BA31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36.</w:t>
      </w:r>
      <w:r w:rsidRPr="009E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В МО «Ахтубинский район» разработана и утверждена схема территориального планирования муниципального района.</w:t>
      </w:r>
    </w:p>
    <w:p w:rsidR="00255636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38.</w:t>
      </w:r>
      <w:r w:rsidRPr="009E2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636" w:rsidRPr="009E2A33">
        <w:rPr>
          <w:rFonts w:ascii="Times New Roman" w:hAnsi="Times New Roman" w:cs="Times New Roman"/>
          <w:sz w:val="28"/>
          <w:szCs w:val="28"/>
        </w:rPr>
        <w:t>По данным официальной статистики среднегодовая численность постоянного населения МО «Ахтубинский район» в 2015 году составила 66372 человек, в 2015 году – 65662 человек, уменьшилась на 710 человек.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Начиная с 1996 года и до настоящего времени численность постоянного населения в районе ежегодно уменьшается, на это влияет естественная и миграционная убыль (особенно миграционная). 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2015 году родилось 897 детей, что на 43 ребенка меньше, чем в 2014.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Смертность по прежнему превышает рождаемость, в 2014 году умерло 1070 человек, в 2015 году – 1009.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Миграция также остается отрицательной, это, прежде всего, связано с отъездом семей военнослужащих уволенных в запас и получивших жилье в других регионах России (программа «Государственные жилищные сертификаты»). В 2014 году миграция составляла – - 415 человек, в 2015 году – - 775 человека.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По прогнозу в районе будет замедляться уменьшение постоянного населения, этому будет способствовать: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рост рождаемости: 2016 год – 918 человек, 2017 – 925, 2018 – 935;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уменьшение смертности в 2016 году по сравнению с 2015 годом на 19 человек и составит 990, в 2017 году – 980, в 2018 году – 980 человек;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планируется снижение миграции: в 2016 году - -550, в 2017 - -328, в 2018 - -253.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Этому будет способствовать:</w:t>
      </w:r>
    </w:p>
    <w:p w:rsidR="00255636" w:rsidRPr="009E2A33" w:rsidRDefault="00255636" w:rsidP="00BA3187">
      <w:pPr>
        <w:numPr>
          <w:ilvl w:val="0"/>
          <w:numId w:val="1"/>
        </w:numPr>
        <w:tabs>
          <w:tab w:val="clear" w:pos="171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реализация подпрограммы «Обеспечение жильем молодых семей» в рамках ФЦП «Жилище» на 2016 – 2020 годы»;</w:t>
      </w:r>
    </w:p>
    <w:p w:rsidR="00255636" w:rsidRPr="009E2A33" w:rsidRDefault="00255636" w:rsidP="00BA3187">
      <w:pPr>
        <w:numPr>
          <w:ilvl w:val="0"/>
          <w:numId w:val="1"/>
        </w:numPr>
        <w:tabs>
          <w:tab w:val="clear" w:pos="1714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участие района в ФЦП «Социальное развитие села до 2020 года»;</w:t>
      </w:r>
    </w:p>
    <w:p w:rsidR="00255636" w:rsidRPr="009E2A33" w:rsidRDefault="00255636" w:rsidP="00BA31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3. </w:t>
      </w:r>
      <w:r w:rsidRPr="009E2A33">
        <w:rPr>
          <w:rFonts w:ascii="Times New Roman" w:hAnsi="Times New Roman" w:cs="Times New Roman"/>
          <w:sz w:val="28"/>
          <w:szCs w:val="28"/>
          <w:lang w:val="x-none"/>
        </w:rPr>
        <w:t xml:space="preserve">привлечение мигрантов участие в программах по переселению, в том числе по переселению соотечественников; </w:t>
      </w:r>
    </w:p>
    <w:p w:rsidR="00255636" w:rsidRPr="009E2A33" w:rsidRDefault="00255636" w:rsidP="00BA31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4. </w:t>
      </w:r>
      <w:r w:rsidRPr="009E2A33">
        <w:rPr>
          <w:rFonts w:ascii="Times New Roman" w:hAnsi="Times New Roman" w:cs="Times New Roman"/>
          <w:sz w:val="28"/>
          <w:szCs w:val="28"/>
          <w:lang w:val="x-none"/>
        </w:rPr>
        <w:t>приглашение для работы в бюджетных учреждениях;</w:t>
      </w:r>
      <w:r w:rsidRPr="009E2A33">
        <w:rPr>
          <w:rFonts w:ascii="Times New Roman" w:hAnsi="Times New Roman" w:cs="Times New Roman"/>
          <w:sz w:val="28"/>
          <w:szCs w:val="28"/>
        </w:rPr>
        <w:t xml:space="preserve"> молодых специалистов на вакантные места;</w:t>
      </w:r>
    </w:p>
    <w:p w:rsidR="00255636" w:rsidRPr="009E2A33" w:rsidRDefault="00255636" w:rsidP="00BA31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5. ц</w:t>
      </w:r>
      <w:r w:rsidRPr="009E2A33">
        <w:rPr>
          <w:rFonts w:ascii="Times New Roman" w:hAnsi="Times New Roman" w:cs="Times New Roman"/>
          <w:sz w:val="28"/>
          <w:szCs w:val="28"/>
          <w:lang w:val="x-none"/>
        </w:rPr>
        <w:t>елевое обучение в высших учебных заведениях для муниципальных учреждений;</w:t>
      </w:r>
    </w:p>
    <w:p w:rsidR="00255636" w:rsidRPr="009E2A33" w:rsidRDefault="00255636" w:rsidP="00BA31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6. </w:t>
      </w:r>
      <w:r w:rsidRPr="009E2A33">
        <w:rPr>
          <w:rFonts w:ascii="Times New Roman" w:hAnsi="Times New Roman" w:cs="Times New Roman"/>
          <w:sz w:val="28"/>
          <w:szCs w:val="28"/>
          <w:lang w:val="x-none"/>
        </w:rPr>
        <w:t>содействие развитию малого и среднего бизнеса</w:t>
      </w:r>
      <w:r w:rsidRPr="009E2A33">
        <w:rPr>
          <w:rFonts w:ascii="Times New Roman" w:hAnsi="Times New Roman" w:cs="Times New Roman"/>
          <w:sz w:val="28"/>
          <w:szCs w:val="28"/>
        </w:rPr>
        <w:t>, поддержка начинающих предпринимателей зарегистрированных на территории Ахтубинского района;</w:t>
      </w:r>
    </w:p>
    <w:p w:rsidR="00255636" w:rsidRPr="009E2A33" w:rsidRDefault="00255636" w:rsidP="00BA318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9E2A33">
        <w:rPr>
          <w:rFonts w:ascii="Times New Roman" w:hAnsi="Times New Roman" w:cs="Times New Roman"/>
          <w:sz w:val="28"/>
          <w:szCs w:val="28"/>
          <w:lang w:val="x-none"/>
        </w:rPr>
        <w:t>обеспечение информацией работодателей и население о ситуации на рынке труда, возможностях трудоустройства, открытия собственного дела, профессиональной подготовке и т. д.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результате вышеизложенного планируемая среднегодовая численность постоянного населения составит: в 2016 году – 64907 человек; в 2017 году – 64405 человек; в 2018 году – 64064 человек.</w:t>
      </w:r>
    </w:p>
    <w:p w:rsidR="00255636" w:rsidRPr="009E2A33" w:rsidRDefault="00255636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Численность на начало года: 2016 год – 65218 человек; 2017 год – 64596 человек; 2018 год – 64213 человек</w:t>
      </w: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2E23" w:rsidRPr="009E2A33" w:rsidRDefault="00712E23" w:rsidP="00BA31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A33"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</w:t>
      </w:r>
    </w:p>
    <w:p w:rsidR="00081C17" w:rsidRPr="009E2A33" w:rsidRDefault="00712E23" w:rsidP="0059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39. </w:t>
      </w:r>
      <w:r w:rsidR="00081C17" w:rsidRPr="009E2A33">
        <w:rPr>
          <w:rFonts w:ascii="Times New Roman" w:hAnsi="Times New Roman" w:cs="Times New Roman"/>
          <w:sz w:val="28"/>
          <w:szCs w:val="28"/>
        </w:rPr>
        <w:t>Удельная величина потребления энергетических ресурсов (электрическая и тепловая энергия, вода, природный газ) в многоквартирных домах.</w:t>
      </w:r>
    </w:p>
    <w:p w:rsidR="00081C17" w:rsidRPr="009E2A33" w:rsidRDefault="00081C17" w:rsidP="00590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Электрическая энергия: в 2014 году – 1054,56 кВт/ч. на одного проживающего, в 2015 году – 954,360 кВт/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E2A33">
        <w:rPr>
          <w:rFonts w:ascii="Times New Roman" w:hAnsi="Times New Roman" w:cs="Times New Roman"/>
          <w:sz w:val="28"/>
          <w:szCs w:val="28"/>
        </w:rPr>
        <w:t>.</w:t>
      </w:r>
    </w:p>
    <w:p w:rsidR="00081C17" w:rsidRPr="009E2A33" w:rsidRDefault="00081C17" w:rsidP="00081C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 xml:space="preserve">По причине все большего использования энергосберегающих ламп и приобретением </w:t>
      </w:r>
      <w:proofErr w:type="spellStart"/>
      <w:r w:rsidRPr="009E2A33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9E2A33">
        <w:rPr>
          <w:rFonts w:ascii="Times New Roman" w:hAnsi="Times New Roman" w:cs="Times New Roman"/>
          <w:sz w:val="28"/>
          <w:szCs w:val="28"/>
        </w:rPr>
        <w:t xml:space="preserve"> бытовых приборов, при росте количества самих электроприборов у населения, планируется достичь снижения потребления населением электрической энергии и довести данный показатель до следующих значений: в 2016 году – 949,589 кВт/ч; в 2017 году – 944,841 кВт/ч; в 2018 году – 940,116 кВт/ч.</w:t>
      </w:r>
      <w:proofErr w:type="gramEnd"/>
    </w:p>
    <w:p w:rsidR="00194F46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Тепловая энергия: </w:t>
      </w:r>
    </w:p>
    <w:p w:rsidR="00081C17" w:rsidRPr="009E2A33" w:rsidRDefault="00194F46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- 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в 2014 году показатель составил 0,20 Гкал на один кв. метр общей площади. Увеличение </w:t>
      </w:r>
      <w:r w:rsidRPr="009E2A33">
        <w:rPr>
          <w:rFonts w:ascii="Times New Roman" w:hAnsi="Times New Roman" w:cs="Times New Roman"/>
          <w:sz w:val="28"/>
          <w:szCs w:val="28"/>
        </w:rPr>
        <w:t xml:space="preserve">показателя по сравнению 2013 годом </w:t>
      </w:r>
      <w:r w:rsidR="00081C17" w:rsidRPr="009E2A33">
        <w:rPr>
          <w:rFonts w:ascii="Times New Roman" w:hAnsi="Times New Roman" w:cs="Times New Roman"/>
          <w:sz w:val="28"/>
          <w:szCs w:val="28"/>
        </w:rPr>
        <w:t>произошло по причине подключения 5-ти 2-х этажных домов в пос. Верхний Баскунчак с самым высоким нормативом отопления на 1 кв. м. площади, ранее отапливаемых индивидуально, к централизованному отоплению  и переходом 7-ми МКД в г. Ахтубинске с централизованного отопления на индивидуальное отопление природным газом. Причинами увеличения показателя так же послужили вывод из эксплуатации ряда общедомовых приборов учета тепловой энергии и более продолжительный, по отношению к 2013 году, период подачи котельными тепловой энергии.</w:t>
      </w:r>
    </w:p>
    <w:p w:rsidR="00081C17" w:rsidRPr="009E2A33" w:rsidRDefault="00194F46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- в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 2015 году удельная величина потребления тепловой энергии по многоквартирным домам составила 0,18 Гкал на один кв. метр общей площади. Снижение объемов потребления тепловой энергии в многоквартирных домах вызвано более высокой температурой наружного воздуха в отопительный период. 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Планируется: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в 2016 году – 0,18 Гкал;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в 2017 году – 0,18 Гкал;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в 2018 году – 0,18 Гкал.</w:t>
      </w:r>
    </w:p>
    <w:p w:rsidR="00081C17" w:rsidRPr="009E2A33" w:rsidRDefault="00194F46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Г</w:t>
      </w:r>
      <w:r w:rsidR="00081C17" w:rsidRPr="009E2A33">
        <w:rPr>
          <w:rFonts w:ascii="Times New Roman" w:hAnsi="Times New Roman" w:cs="Times New Roman"/>
          <w:sz w:val="28"/>
          <w:szCs w:val="28"/>
        </w:rPr>
        <w:t>орячая вода: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081C17" w:rsidRPr="009E2A33">
        <w:rPr>
          <w:rFonts w:ascii="Times New Roman" w:hAnsi="Times New Roman" w:cs="Times New Roman"/>
          <w:sz w:val="28"/>
          <w:szCs w:val="28"/>
        </w:rPr>
        <w:t>в 2014 году потребление горячей воды в расчете на одного проживающего по отношению к 2013 году снизилось на 0.14 куб. м (на 1%) и составило  14,11 куб. м;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в 2015 году произошло как снижение объемов потребления горячей </w:t>
      </w:r>
      <w:r w:rsidRPr="009E2A33">
        <w:rPr>
          <w:rFonts w:ascii="Times New Roman" w:hAnsi="Times New Roman" w:cs="Times New Roman"/>
          <w:sz w:val="28"/>
          <w:szCs w:val="28"/>
        </w:rPr>
        <w:t>воды,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 так и снижение численности самих потребителей. При этом удельный расход горячей воды остался на уровне 2014 года и составил 14,11 куб. м на одного проживающего.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lastRenderedPageBreak/>
        <w:t>На последующие годы планируется: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2016 год – 13,96 куб. м;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2017 год – 13,89 куб. м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2018 год – 13,82 куб. м</w:t>
      </w:r>
      <w:r w:rsidR="00194F46" w:rsidRPr="009E2A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1C17" w:rsidRPr="009E2A33" w:rsidRDefault="00194F46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Х</w:t>
      </w:r>
      <w:r w:rsidR="00081C17" w:rsidRPr="009E2A33">
        <w:rPr>
          <w:rFonts w:ascii="Times New Roman" w:hAnsi="Times New Roman" w:cs="Times New Roman"/>
          <w:sz w:val="28"/>
          <w:szCs w:val="28"/>
        </w:rPr>
        <w:t>олодная вода: в 2014 году показатель составил 26,40 куб. м на одного проживающего</w:t>
      </w:r>
      <w:r w:rsidRPr="009E2A33">
        <w:rPr>
          <w:rFonts w:ascii="Times New Roman" w:hAnsi="Times New Roman" w:cs="Times New Roman"/>
          <w:sz w:val="28"/>
          <w:szCs w:val="28"/>
        </w:rPr>
        <w:t xml:space="preserve">. 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Снижение показателя вызвано увеличением количества установленных индивидуальных </w:t>
      </w:r>
      <w:r w:rsidRPr="009E2A33">
        <w:rPr>
          <w:rFonts w:ascii="Times New Roman" w:hAnsi="Times New Roman" w:cs="Times New Roman"/>
          <w:sz w:val="28"/>
          <w:szCs w:val="28"/>
        </w:rPr>
        <w:t>приборов учета холодной воды; в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 2015 году произошло увеличение объемов потребления по отношению к 2014 году на 22,424 тыс. куб. м, в связи с чем</w:t>
      </w:r>
      <w:r w:rsidRPr="009E2A33">
        <w:rPr>
          <w:rFonts w:ascii="Times New Roman" w:hAnsi="Times New Roman" w:cs="Times New Roman"/>
          <w:sz w:val="28"/>
          <w:szCs w:val="28"/>
        </w:rPr>
        <w:t>,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 показатель составил 27,54 куб. м на одного проживающего. Увеличение объемов потребления объясняется снижением количества аварий и перерывов в подаче питьевой воды населению, проживающему в многоквартирных домах.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>Планируется: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2016 год - 26,14 куб. м; 2017 год - 26,01 куб. м;</w:t>
      </w:r>
      <w:r w:rsidR="00194F46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2018 год – 25,87 куб. м.</w:t>
      </w:r>
      <w:proofErr w:type="gramEnd"/>
    </w:p>
    <w:p w:rsidR="00081C17" w:rsidRPr="009E2A33" w:rsidRDefault="00194F46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</w:t>
      </w:r>
      <w:r w:rsidR="00081C17" w:rsidRPr="009E2A33">
        <w:rPr>
          <w:rFonts w:ascii="Times New Roman" w:hAnsi="Times New Roman" w:cs="Times New Roman"/>
          <w:sz w:val="28"/>
          <w:szCs w:val="28"/>
        </w:rPr>
        <w:t>риродный газ: в 2014 году - 72 куб. м на одного проживающего</w:t>
      </w:r>
      <w:r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="00081C17" w:rsidRPr="009E2A33">
        <w:rPr>
          <w:rFonts w:ascii="Times New Roman" w:hAnsi="Times New Roman" w:cs="Times New Roman"/>
          <w:sz w:val="28"/>
          <w:szCs w:val="28"/>
        </w:rPr>
        <w:t>в 2015 году показатель остается на уровне прошлых лет -72 куб. м на одного проживающего.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На 2016-2018 годы данный показатель планируется на этом же уровне - 72 куб. м на одного проживающего.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40. Удельная величина потребления энергетических ресурсов (электрическая и тепловая энергия, вода, природный газ) муниципальными бюджетными учреждениями.</w:t>
      </w:r>
    </w:p>
    <w:p w:rsidR="00081C17" w:rsidRPr="009E2A33" w:rsidRDefault="005905ED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Э</w:t>
      </w:r>
      <w:r w:rsidR="00081C17" w:rsidRPr="009E2A33">
        <w:rPr>
          <w:rFonts w:ascii="Times New Roman" w:hAnsi="Times New Roman" w:cs="Times New Roman"/>
          <w:sz w:val="28"/>
          <w:szCs w:val="28"/>
        </w:rPr>
        <w:t>лектрическая энергия: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081C17" w:rsidRPr="009E2A33">
        <w:rPr>
          <w:rFonts w:ascii="Times New Roman" w:hAnsi="Times New Roman" w:cs="Times New Roman"/>
          <w:sz w:val="28"/>
          <w:szCs w:val="28"/>
        </w:rPr>
        <w:t>в 2014 году – 48,59 кВт/ч. на одного человека населения</w:t>
      </w:r>
      <w:r w:rsidRPr="009E2A33">
        <w:rPr>
          <w:rFonts w:ascii="Times New Roman" w:hAnsi="Times New Roman" w:cs="Times New Roman"/>
          <w:sz w:val="28"/>
          <w:szCs w:val="28"/>
        </w:rPr>
        <w:t xml:space="preserve">. </w:t>
      </w:r>
      <w:r w:rsidR="00081C17" w:rsidRPr="009E2A33">
        <w:rPr>
          <w:rFonts w:ascii="Times New Roman" w:hAnsi="Times New Roman" w:cs="Times New Roman"/>
          <w:sz w:val="28"/>
          <w:szCs w:val="28"/>
        </w:rPr>
        <w:t>Увеличение показателя произошло по причине реализации ряда социальных программ, в результате чего в дошкольных учреждениях были созданы дополнительно 13 групп на 325 мест, увеличен на 2 часа их режим работы, модернизированы и оснащены новым оборудованием учреждения культ</w:t>
      </w:r>
      <w:r w:rsidRPr="009E2A33">
        <w:rPr>
          <w:rFonts w:ascii="Times New Roman" w:hAnsi="Times New Roman" w:cs="Times New Roman"/>
          <w:sz w:val="28"/>
          <w:szCs w:val="28"/>
        </w:rPr>
        <w:t xml:space="preserve">уры; </w:t>
      </w:r>
      <w:r w:rsidR="00081C17" w:rsidRPr="009E2A33">
        <w:rPr>
          <w:rFonts w:ascii="Times New Roman" w:hAnsi="Times New Roman" w:cs="Times New Roman"/>
          <w:sz w:val="28"/>
          <w:szCs w:val="28"/>
        </w:rPr>
        <w:t>в 2015 году – 50,69 кВт/ч. на одного человека населен</w:t>
      </w:r>
      <w:r w:rsidRPr="009E2A33">
        <w:rPr>
          <w:rFonts w:ascii="Times New Roman" w:hAnsi="Times New Roman" w:cs="Times New Roman"/>
          <w:sz w:val="28"/>
          <w:szCs w:val="28"/>
        </w:rPr>
        <w:t>ия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. Увеличение показателя произошло в связи с тем, что дополнительно созданные во 2 полугодии 2014 года группы в дошкольных учреждениях в 2015 году работали полный год. К тому же, были дополнительно созданы еще 3 группы на 75 мест в детском саду № 17 и 1 группа на 15 мест </w:t>
      </w:r>
      <w:proofErr w:type="gramStart"/>
      <w:r w:rsidR="00081C17" w:rsidRPr="009E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1C17" w:rsidRPr="009E2A3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81C17" w:rsidRPr="009E2A33">
        <w:rPr>
          <w:rFonts w:ascii="Times New Roman" w:hAnsi="Times New Roman" w:cs="Times New Roman"/>
          <w:sz w:val="28"/>
          <w:szCs w:val="28"/>
        </w:rPr>
        <w:t>Сокрутовка</w:t>
      </w:r>
      <w:proofErr w:type="spellEnd"/>
      <w:r w:rsidR="00081C17" w:rsidRPr="009E2A33">
        <w:rPr>
          <w:rFonts w:ascii="Times New Roman" w:hAnsi="Times New Roman" w:cs="Times New Roman"/>
          <w:sz w:val="28"/>
          <w:szCs w:val="28"/>
        </w:rPr>
        <w:t>.  К тому же показатель рассчитывается от  общей среднегодовой численности населения района, которая имеет устойчивую тенденцию к снижению.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Планируется: 2016 год – 48,27 кВт/</w:t>
      </w:r>
      <w:proofErr w:type="gramStart"/>
      <w:r w:rsidRPr="009E2A3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905E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2017 год – 47.97 кВт/ч</w:t>
      </w:r>
      <w:r w:rsidR="005905E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 xml:space="preserve">2018 год – 47,77 кВт/ч. </w:t>
      </w:r>
    </w:p>
    <w:p w:rsidR="00081C17" w:rsidRPr="009E2A33" w:rsidRDefault="005905ED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Т</w:t>
      </w:r>
      <w:r w:rsidR="00081C17" w:rsidRPr="009E2A33">
        <w:rPr>
          <w:rFonts w:ascii="Times New Roman" w:hAnsi="Times New Roman" w:cs="Times New Roman"/>
          <w:sz w:val="28"/>
          <w:szCs w:val="28"/>
        </w:rPr>
        <w:t>епловая энергия: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в 2014 году - 0,18 Гкал на один кв. метр общей площади; - в 2015 году при снижении объемов потребления тепловой энергии к уровню 2014 года на 393,72 Гкал показатель за счет округления остался 0,18 Гкал на один кв. метр общей площади. 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Планируется:</w:t>
      </w:r>
      <w:r w:rsidR="005905ED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2016 год - 0,18 Гкал</w:t>
      </w:r>
      <w:r w:rsidR="005905E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2017 год - 0,18 Гкал</w:t>
      </w:r>
      <w:r w:rsidR="005905E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2018 год - 0,18</w:t>
      </w:r>
      <w:r w:rsidR="005905ED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Гкал</w:t>
      </w:r>
      <w:r w:rsidR="005905ED" w:rsidRPr="009E2A33">
        <w:rPr>
          <w:rFonts w:ascii="Times New Roman" w:hAnsi="Times New Roman" w:cs="Times New Roman"/>
          <w:sz w:val="28"/>
          <w:szCs w:val="28"/>
        </w:rPr>
        <w:t>.</w:t>
      </w:r>
    </w:p>
    <w:p w:rsidR="00081C17" w:rsidRPr="009E2A33" w:rsidRDefault="005905ED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Г</w:t>
      </w:r>
      <w:r w:rsidR="00081C17" w:rsidRPr="009E2A33">
        <w:rPr>
          <w:rFonts w:ascii="Times New Roman" w:hAnsi="Times New Roman" w:cs="Times New Roman"/>
          <w:sz w:val="28"/>
          <w:szCs w:val="28"/>
        </w:rPr>
        <w:t>орячая вода: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081C17" w:rsidRPr="009E2A33">
        <w:rPr>
          <w:rFonts w:ascii="Times New Roman" w:hAnsi="Times New Roman" w:cs="Times New Roman"/>
          <w:sz w:val="28"/>
          <w:szCs w:val="28"/>
        </w:rPr>
        <w:t>в 2014 году –0,10 куб. м на одного человека населения. Увеличение показателя произошло по причине создания дополнительно 13 групп на 325 мест в дошкольных учреждениях</w:t>
      </w:r>
      <w:r w:rsidRPr="009E2A33">
        <w:rPr>
          <w:rFonts w:ascii="Times New Roman" w:hAnsi="Times New Roman" w:cs="Times New Roman"/>
          <w:sz w:val="28"/>
          <w:szCs w:val="28"/>
        </w:rPr>
        <w:t>; в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 2015 год</w:t>
      </w:r>
      <w:r w:rsidRPr="009E2A33">
        <w:rPr>
          <w:rFonts w:ascii="Times New Roman" w:hAnsi="Times New Roman" w:cs="Times New Roman"/>
          <w:sz w:val="28"/>
          <w:szCs w:val="28"/>
        </w:rPr>
        <w:t>у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 –0,13 куб. м на одного человека населения. Увеличение показателя вызвано работой в </w:t>
      </w:r>
      <w:r w:rsidR="00081C17" w:rsidRPr="009E2A33">
        <w:rPr>
          <w:rFonts w:ascii="Times New Roman" w:hAnsi="Times New Roman" w:cs="Times New Roman"/>
          <w:sz w:val="28"/>
          <w:szCs w:val="28"/>
        </w:rPr>
        <w:lastRenderedPageBreak/>
        <w:t>постоянном режиме в течение года плавательного бассейна в детском саду № 11, работой в течение всего года дополнительных групп в дошкольных учреждениях, которые в 2014 году были созданы и работали в основном со 2 полугодия, а также снижением среднегодовой численности населения Ахтубинского района.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A33">
        <w:rPr>
          <w:rFonts w:ascii="Times New Roman" w:hAnsi="Times New Roman" w:cs="Times New Roman"/>
          <w:sz w:val="28"/>
          <w:szCs w:val="28"/>
        </w:rPr>
        <w:t>В связи с тем, что данный показатель рассчитывается от  общей численности населения района, которая имеет тенденцию к снижению, то даже при уменьшении в дальнейшем объемов потребления горячей воды, снижение самого показателя не происходит: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2016 год – 0,13 куб. м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2017 год – 0,13 куб. м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2018 год – 0,13 куб. м на одного человека населения.</w:t>
      </w:r>
      <w:proofErr w:type="gramEnd"/>
    </w:p>
    <w:p w:rsidR="00081C17" w:rsidRPr="009E2A33" w:rsidRDefault="003D277D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Х</w:t>
      </w:r>
      <w:r w:rsidR="00081C17" w:rsidRPr="009E2A33">
        <w:rPr>
          <w:rFonts w:ascii="Times New Roman" w:hAnsi="Times New Roman" w:cs="Times New Roman"/>
          <w:sz w:val="28"/>
          <w:szCs w:val="28"/>
        </w:rPr>
        <w:t xml:space="preserve">олодная вода: в 2014 году –0,93 куб. м на одного человека населения. </w:t>
      </w:r>
      <w:proofErr w:type="gramStart"/>
      <w:r w:rsidR="00081C17" w:rsidRPr="009E2A33">
        <w:rPr>
          <w:rFonts w:ascii="Times New Roman" w:hAnsi="Times New Roman" w:cs="Times New Roman"/>
          <w:sz w:val="28"/>
          <w:szCs w:val="28"/>
        </w:rPr>
        <w:t>Увеличение показателя по потреблению холодной воды произошло по причине создания дополнительных групп в детских дошкольных учреждениях (13 групп на 325 мест) и увеличением на 2 часа их режима работы, заменой в сельских школах уличных туалетов на теплые туалеты и дополнительным озеленением территорий бюджетных учреждений; в 2015 году –</w:t>
      </w:r>
      <w:r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="00081C17" w:rsidRPr="009E2A33">
        <w:rPr>
          <w:rFonts w:ascii="Times New Roman" w:hAnsi="Times New Roman" w:cs="Times New Roman"/>
          <w:sz w:val="28"/>
          <w:szCs w:val="28"/>
        </w:rPr>
        <w:t>0,97 куб. м на одного человека населения.</w:t>
      </w:r>
      <w:proofErr w:type="gramEnd"/>
      <w:r w:rsidR="00081C17" w:rsidRPr="009E2A33">
        <w:rPr>
          <w:rFonts w:ascii="Times New Roman" w:hAnsi="Times New Roman" w:cs="Times New Roman"/>
          <w:sz w:val="28"/>
          <w:szCs w:val="28"/>
        </w:rPr>
        <w:t xml:space="preserve"> Увеличение показателя вызвано тем, что дополнительно созданные во 2 полугодии 2014 года группы в дошкольных учреждениях в 2015 году работали полный год. К тому же, были созданы дополнительно еще 3 группы на 75 мест в детском саду № 17  и 1 группа на 15 мест </w:t>
      </w:r>
      <w:proofErr w:type="gramStart"/>
      <w:r w:rsidR="00081C17" w:rsidRPr="009E2A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81C17" w:rsidRPr="009E2A3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081C17" w:rsidRPr="009E2A33">
        <w:rPr>
          <w:rFonts w:ascii="Times New Roman" w:hAnsi="Times New Roman" w:cs="Times New Roman"/>
          <w:sz w:val="28"/>
          <w:szCs w:val="28"/>
        </w:rPr>
        <w:t>Сокрутовка</w:t>
      </w:r>
      <w:proofErr w:type="spellEnd"/>
      <w:r w:rsidR="00081C17" w:rsidRPr="009E2A33">
        <w:rPr>
          <w:rFonts w:ascii="Times New Roman" w:hAnsi="Times New Roman" w:cs="Times New Roman"/>
          <w:sz w:val="28"/>
          <w:szCs w:val="28"/>
        </w:rPr>
        <w:t>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связи с тем, что данный показатель рассчитывается от  общей численности населения района, которая имеет тенденцию к снижению, то даже при уменьшении в дальнейшем объемов потребления холодной воды, снижение самого показателя  не происходит: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2016 год –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0,97 куб. м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2017 год –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 </w:t>
      </w:r>
      <w:r w:rsidRPr="009E2A33">
        <w:rPr>
          <w:rFonts w:ascii="Times New Roman" w:hAnsi="Times New Roman" w:cs="Times New Roman"/>
          <w:sz w:val="28"/>
          <w:szCs w:val="28"/>
        </w:rPr>
        <w:t>0,97 куб. м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; </w:t>
      </w:r>
      <w:r w:rsidRPr="009E2A33">
        <w:rPr>
          <w:rFonts w:ascii="Times New Roman" w:hAnsi="Times New Roman" w:cs="Times New Roman"/>
          <w:sz w:val="28"/>
          <w:szCs w:val="28"/>
        </w:rPr>
        <w:t>2018 год – 0,97 куб. м</w:t>
      </w:r>
      <w:r w:rsidR="003D277D" w:rsidRPr="009E2A33">
        <w:rPr>
          <w:rFonts w:ascii="Times New Roman" w:hAnsi="Times New Roman" w:cs="Times New Roman"/>
          <w:sz w:val="28"/>
          <w:szCs w:val="28"/>
        </w:rPr>
        <w:t>.</w:t>
      </w:r>
    </w:p>
    <w:p w:rsidR="00081C17" w:rsidRPr="009E2A33" w:rsidRDefault="003D277D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Природный газ.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 xml:space="preserve">В 2012-2014 годах природный газ бюджетными учреждениями МО «Ахтубинский район» не использовался. </w:t>
      </w:r>
    </w:p>
    <w:p w:rsidR="00081C17" w:rsidRPr="009E2A33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В 2015году расход природного газа учреждениями культуры в газифицированных сельских поселениях составил 14,948 тыс. куб. м. Удельная величина потребл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ения данного ресурса составила 0,23 </w:t>
      </w:r>
      <w:proofErr w:type="spellStart"/>
      <w:r w:rsidR="003D277D" w:rsidRPr="009E2A33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3D277D" w:rsidRPr="009E2A33">
        <w:rPr>
          <w:rFonts w:ascii="Times New Roman" w:hAnsi="Times New Roman" w:cs="Times New Roman"/>
          <w:sz w:val="28"/>
          <w:szCs w:val="28"/>
        </w:rPr>
        <w:t>.</w:t>
      </w:r>
    </w:p>
    <w:p w:rsidR="00081C17" w:rsidRPr="00081C17" w:rsidRDefault="00081C17" w:rsidP="00194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33">
        <w:rPr>
          <w:rFonts w:ascii="Times New Roman" w:hAnsi="Times New Roman" w:cs="Times New Roman"/>
          <w:sz w:val="28"/>
          <w:szCs w:val="28"/>
        </w:rPr>
        <w:t>На последующие годы планируется:</w:t>
      </w:r>
      <w:r w:rsidR="003D277D" w:rsidRPr="009E2A33">
        <w:rPr>
          <w:rFonts w:ascii="Times New Roman" w:hAnsi="Times New Roman" w:cs="Times New Roman"/>
          <w:sz w:val="28"/>
          <w:szCs w:val="28"/>
        </w:rPr>
        <w:t xml:space="preserve"> 206 – 2018 годы по 0,23 куб. м.</w:t>
      </w:r>
    </w:p>
    <w:p w:rsidR="00712E23" w:rsidRPr="00BA3187" w:rsidRDefault="00712E23" w:rsidP="00081C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D03" w:rsidRPr="00BA3187" w:rsidRDefault="00F75D03" w:rsidP="00BA318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5D03" w:rsidRPr="00BA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4152F38"/>
    <w:multiLevelType w:val="multilevel"/>
    <w:tmpl w:val="440AB24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2AE963B1"/>
    <w:multiLevelType w:val="hybridMultilevel"/>
    <w:tmpl w:val="FE7C6254"/>
    <w:lvl w:ilvl="0" w:tplc="9B941F2A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A2F6056"/>
    <w:multiLevelType w:val="hybridMultilevel"/>
    <w:tmpl w:val="8B0A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EAC"/>
    <w:multiLevelType w:val="hybridMultilevel"/>
    <w:tmpl w:val="25023914"/>
    <w:lvl w:ilvl="0" w:tplc="4E80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C5593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23"/>
    <w:rsid w:val="000318BF"/>
    <w:rsid w:val="00081C17"/>
    <w:rsid w:val="000E7A92"/>
    <w:rsid w:val="000F1FE7"/>
    <w:rsid w:val="00102700"/>
    <w:rsid w:val="00112C11"/>
    <w:rsid w:val="0011681A"/>
    <w:rsid w:val="00150CFE"/>
    <w:rsid w:val="00194F46"/>
    <w:rsid w:val="001B1C14"/>
    <w:rsid w:val="0025020B"/>
    <w:rsid w:val="00255636"/>
    <w:rsid w:val="00285A19"/>
    <w:rsid w:val="003036CC"/>
    <w:rsid w:val="003C5D5F"/>
    <w:rsid w:val="003D277D"/>
    <w:rsid w:val="003F4A0B"/>
    <w:rsid w:val="0045343A"/>
    <w:rsid w:val="00481940"/>
    <w:rsid w:val="00494251"/>
    <w:rsid w:val="004D02AF"/>
    <w:rsid w:val="00541FF3"/>
    <w:rsid w:val="00542147"/>
    <w:rsid w:val="00583319"/>
    <w:rsid w:val="005905ED"/>
    <w:rsid w:val="005C4819"/>
    <w:rsid w:val="005E6189"/>
    <w:rsid w:val="00610B0D"/>
    <w:rsid w:val="00625F22"/>
    <w:rsid w:val="006B2F62"/>
    <w:rsid w:val="006B329B"/>
    <w:rsid w:val="006C05E7"/>
    <w:rsid w:val="006C2459"/>
    <w:rsid w:val="006F55C3"/>
    <w:rsid w:val="00712E23"/>
    <w:rsid w:val="007151C0"/>
    <w:rsid w:val="00745A6F"/>
    <w:rsid w:val="007776F4"/>
    <w:rsid w:val="007C4412"/>
    <w:rsid w:val="007F1EA9"/>
    <w:rsid w:val="008245BF"/>
    <w:rsid w:val="00842441"/>
    <w:rsid w:val="0088437C"/>
    <w:rsid w:val="00890308"/>
    <w:rsid w:val="00927DCD"/>
    <w:rsid w:val="0093455C"/>
    <w:rsid w:val="00950C79"/>
    <w:rsid w:val="00990FAC"/>
    <w:rsid w:val="009D71CD"/>
    <w:rsid w:val="009E2A33"/>
    <w:rsid w:val="009E7190"/>
    <w:rsid w:val="00A355DC"/>
    <w:rsid w:val="00A55B32"/>
    <w:rsid w:val="00A71D61"/>
    <w:rsid w:val="00A85223"/>
    <w:rsid w:val="00AA1554"/>
    <w:rsid w:val="00B31A9E"/>
    <w:rsid w:val="00BA3187"/>
    <w:rsid w:val="00C1473A"/>
    <w:rsid w:val="00C27B09"/>
    <w:rsid w:val="00CA0E43"/>
    <w:rsid w:val="00D178CF"/>
    <w:rsid w:val="00D73006"/>
    <w:rsid w:val="00D92085"/>
    <w:rsid w:val="00DC493B"/>
    <w:rsid w:val="00DF3048"/>
    <w:rsid w:val="00E339BB"/>
    <w:rsid w:val="00E35611"/>
    <w:rsid w:val="00E96398"/>
    <w:rsid w:val="00EA7103"/>
    <w:rsid w:val="00ED1161"/>
    <w:rsid w:val="00EF3A67"/>
    <w:rsid w:val="00F0483A"/>
    <w:rsid w:val="00F07AFC"/>
    <w:rsid w:val="00F7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3"/>
  </w:style>
  <w:style w:type="paragraph" w:styleId="3">
    <w:name w:val="heading 3"/>
    <w:basedOn w:val="a"/>
    <w:next w:val="a"/>
    <w:link w:val="30"/>
    <w:qFormat/>
    <w:rsid w:val="00712E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E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5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71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2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E23"/>
  </w:style>
  <w:style w:type="character" w:styleId="a5">
    <w:name w:val="Strong"/>
    <w:basedOn w:val="a0"/>
    <w:uiPriority w:val="22"/>
    <w:qFormat/>
    <w:rsid w:val="00712E23"/>
    <w:rPr>
      <w:b/>
      <w:bCs/>
    </w:rPr>
  </w:style>
  <w:style w:type="paragraph" w:styleId="a6">
    <w:name w:val="List Paragraph"/>
    <w:basedOn w:val="a"/>
    <w:uiPriority w:val="34"/>
    <w:qFormat/>
    <w:rsid w:val="00712E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rsid w:val="00712E23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7"/>
    <w:rsid w:val="0071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12E2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12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712E23"/>
    <w:rPr>
      <w:color w:val="0000FF"/>
      <w:u w:val="single"/>
    </w:rPr>
  </w:style>
  <w:style w:type="paragraph" w:customStyle="1" w:styleId="1">
    <w:name w:val="Обычный1"/>
    <w:rsid w:val="00712E2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spacing0">
    <w:name w:val="msonospacing"/>
    <w:semiHidden/>
    <w:rsid w:val="00712E2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556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C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745A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E23"/>
  </w:style>
  <w:style w:type="paragraph" w:styleId="3">
    <w:name w:val="heading 3"/>
    <w:basedOn w:val="a"/>
    <w:next w:val="a"/>
    <w:link w:val="30"/>
    <w:qFormat/>
    <w:rsid w:val="00712E2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56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2E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56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ody Text"/>
    <w:basedOn w:val="a"/>
    <w:link w:val="a4"/>
    <w:uiPriority w:val="99"/>
    <w:semiHidden/>
    <w:unhideWhenUsed/>
    <w:rsid w:val="0071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12E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2E23"/>
  </w:style>
  <w:style w:type="character" w:styleId="a5">
    <w:name w:val="Strong"/>
    <w:basedOn w:val="a0"/>
    <w:uiPriority w:val="22"/>
    <w:qFormat/>
    <w:rsid w:val="00712E23"/>
    <w:rPr>
      <w:b/>
      <w:bCs/>
    </w:rPr>
  </w:style>
  <w:style w:type="paragraph" w:styleId="a6">
    <w:name w:val="List Paragraph"/>
    <w:basedOn w:val="a"/>
    <w:uiPriority w:val="34"/>
    <w:qFormat/>
    <w:rsid w:val="00712E2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rsid w:val="00712E23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"/>
    <w:link w:val="a7"/>
    <w:rsid w:val="00712E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12E2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12E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712E23"/>
    <w:rPr>
      <w:color w:val="0000FF"/>
      <w:u w:val="single"/>
    </w:rPr>
  </w:style>
  <w:style w:type="paragraph" w:customStyle="1" w:styleId="1">
    <w:name w:val="Обычный1"/>
    <w:rsid w:val="00712E2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msonospacing0">
    <w:name w:val="msonospacing"/>
    <w:semiHidden/>
    <w:rsid w:val="00712E23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25563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DC49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745A6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6B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2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1%85%D1%82%D1%83%D0%B1%D0%B8%D0%BD%D1%81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0%D1%81%D1%82%D1%80%D0%B0%D1%85%D0%B0%D0%BD%D1%81%D0%BA%D0%B0%D1%8F_%D0%BE%D0%B1%D0%BB%D0%B0%D1%81%D1%82%D1%8C" TargetMode="External"/><Relationship Id="rId12" Type="http://schemas.openxmlformats.org/officeDocument/2006/relationships/hyperlink" Target="consultantplus://offline/ref=8B0A5D9B602C2DBECB15DD0FEAEDADCBFDF568B739B02D9D98740533AD82C475D2B15956B14F4265151FF9kEg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5%D0%B0%D1%80%D0%B0%D0%B1%D0%B0%D0%BB%D0%B8%D0%BD%D1%81%D0%BA%D0%B8%D0%B9_%D1%80%D0%B0%D0%B9%D0%BE%D0%BD_%D0%90%D1%81%D1%82%D1%80%D0%B0%D1%85%D0%B0%D0%BD%D1%81%D0%BA%D0%BE%D0%B9_%D0%BE%D0%B1%D0%BB%D0%B0%D1%81%D1%82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7%D0%B5%D1%80%D0%BD%D0%BE%D1%8F%D1%80%D1%81%D0%BA%D0%B8%D0%B9_%D1%80%D0%B0%D0%B9%D0%BE%D0%BD_%D0%90%D1%81%D1%82%D1%80%D0%B0%D1%85%D0%B0%D0%BD%D1%81%D0%BA%D0%BE%D0%B9_%D0%BE%D0%B1%D0%BB%D0%B0%D1%81%D1%82%D0%B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A%D0%B0%D0%B7%D0%B0%D1%85%D1%81%D1%82%D0%B0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FFC88-39C5-4694-BB15-647B78F8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14644</Words>
  <Characters>83476</Characters>
  <Application>Microsoft Office Word</Application>
  <DocSecurity>0</DocSecurity>
  <Lines>695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Алла Гужвина</cp:lastModifiedBy>
  <cp:revision>10</cp:revision>
  <cp:lastPrinted>2016-04-26T10:28:00Z</cp:lastPrinted>
  <dcterms:created xsi:type="dcterms:W3CDTF">2016-04-19T11:19:00Z</dcterms:created>
  <dcterms:modified xsi:type="dcterms:W3CDTF">2016-04-28T11:06:00Z</dcterms:modified>
</cp:coreProperties>
</file>